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31" w:rsidRPr="00E74099" w:rsidRDefault="00CC683C" w:rsidP="00CC683C">
      <w:pPr>
        <w:spacing w:after="0" w:line="240" w:lineRule="auto"/>
        <w:rPr>
          <w:rFonts w:ascii="Arial" w:hAnsi="Arial" w:cs="Arial"/>
          <w:b/>
          <w:sz w:val="28"/>
          <w:szCs w:val="28"/>
        </w:rPr>
      </w:pPr>
      <w:r w:rsidRPr="00E74099">
        <w:rPr>
          <w:rFonts w:ascii="Arial" w:hAnsi="Arial" w:cs="Arial"/>
          <w:b/>
          <w:sz w:val="28"/>
          <w:szCs w:val="28"/>
        </w:rPr>
        <w:t>Docententoelichting</w:t>
      </w:r>
      <w:r w:rsidR="00E74099">
        <w:rPr>
          <w:rFonts w:ascii="Arial" w:hAnsi="Arial" w:cs="Arial"/>
          <w:b/>
          <w:sz w:val="28"/>
          <w:szCs w:val="28"/>
        </w:rPr>
        <w:t xml:space="preserve"> bij de leeractiviteit </w:t>
      </w:r>
      <w:r w:rsidR="00E74099" w:rsidRPr="00E74099">
        <w:rPr>
          <w:rFonts w:ascii="Arial" w:hAnsi="Arial" w:cs="Arial"/>
          <w:b/>
          <w:sz w:val="28"/>
          <w:szCs w:val="28"/>
        </w:rPr>
        <w:t>‘Kruidenthee, kruidenolie en kruidentinctuur’</w:t>
      </w:r>
    </w:p>
    <w:p w:rsidR="00CC683C" w:rsidRDefault="00CC683C" w:rsidP="00CC683C">
      <w:pPr>
        <w:spacing w:after="0" w:line="240" w:lineRule="auto"/>
        <w:rPr>
          <w:rFonts w:ascii="Arial" w:hAnsi="Arial" w:cs="Arial"/>
          <w:sz w:val="24"/>
          <w:szCs w:val="24"/>
        </w:rPr>
      </w:pPr>
    </w:p>
    <w:p w:rsidR="00AE1F9A" w:rsidRDefault="00AE1F9A" w:rsidP="00CC683C">
      <w:pPr>
        <w:spacing w:after="0" w:line="240" w:lineRule="auto"/>
        <w:rPr>
          <w:rFonts w:ascii="Arial" w:hAnsi="Arial" w:cs="Arial"/>
          <w:sz w:val="24"/>
          <w:szCs w:val="24"/>
        </w:rPr>
      </w:pPr>
    </w:p>
    <w:p w:rsidR="003A3CC7" w:rsidRPr="00E74099" w:rsidRDefault="003A3CC7" w:rsidP="00CC683C">
      <w:pPr>
        <w:spacing w:after="0" w:line="240" w:lineRule="auto"/>
        <w:rPr>
          <w:rFonts w:ascii="Arial" w:hAnsi="Arial" w:cs="Arial"/>
          <w:b/>
          <w:sz w:val="24"/>
          <w:szCs w:val="24"/>
        </w:rPr>
      </w:pPr>
      <w:r w:rsidRPr="00E74099">
        <w:rPr>
          <w:rFonts w:ascii="Arial" w:hAnsi="Arial" w:cs="Arial"/>
          <w:b/>
          <w:sz w:val="24"/>
          <w:szCs w:val="24"/>
        </w:rPr>
        <w:t>Uitvoering</w:t>
      </w:r>
    </w:p>
    <w:p w:rsidR="003A3CC7" w:rsidRDefault="008C5FEB" w:rsidP="00CC683C">
      <w:pPr>
        <w:spacing w:after="0" w:line="240" w:lineRule="auto"/>
        <w:rPr>
          <w:rFonts w:ascii="Arial" w:hAnsi="Arial" w:cs="Arial"/>
          <w:sz w:val="24"/>
          <w:szCs w:val="24"/>
        </w:rPr>
      </w:pPr>
      <w:r>
        <w:rPr>
          <w:rFonts w:ascii="Arial" w:hAnsi="Arial" w:cs="Arial"/>
          <w:sz w:val="24"/>
          <w:szCs w:val="24"/>
        </w:rPr>
        <w:t xml:space="preserve">De leeractiviteit bestaat vooral uit een theeproeverij. </w:t>
      </w:r>
      <w:r w:rsidR="00250691">
        <w:rPr>
          <w:rFonts w:ascii="Arial" w:hAnsi="Arial" w:cs="Arial"/>
          <w:sz w:val="24"/>
          <w:szCs w:val="24"/>
        </w:rPr>
        <w:t xml:space="preserve">Over de kruidenolie en de kruidentinctuur staan alleen een korte tekst en wat vragen in de leeractiviteit. </w:t>
      </w:r>
      <w:r>
        <w:rPr>
          <w:rFonts w:ascii="Arial" w:hAnsi="Arial" w:cs="Arial"/>
          <w:sz w:val="24"/>
          <w:szCs w:val="24"/>
        </w:rPr>
        <w:t xml:space="preserve">Het is de bedoeling dat leerlingen in ieder geval één thee uit elke groep proeven. </w:t>
      </w:r>
      <w:r w:rsidR="003A3CC7">
        <w:rPr>
          <w:rFonts w:ascii="Arial" w:hAnsi="Arial" w:cs="Arial"/>
          <w:sz w:val="24"/>
          <w:szCs w:val="24"/>
        </w:rPr>
        <w:t xml:space="preserve">Niet alle </w:t>
      </w:r>
      <w:r w:rsidR="00250691">
        <w:rPr>
          <w:rFonts w:ascii="Arial" w:hAnsi="Arial" w:cs="Arial"/>
          <w:sz w:val="24"/>
          <w:szCs w:val="24"/>
        </w:rPr>
        <w:t xml:space="preserve">kruidentheeën zijn lekker. </w:t>
      </w:r>
      <w:r w:rsidR="003A3CC7">
        <w:rPr>
          <w:rFonts w:ascii="Arial" w:hAnsi="Arial" w:cs="Arial"/>
          <w:sz w:val="24"/>
          <w:szCs w:val="24"/>
        </w:rPr>
        <w:t>Leerlingen hoeven daarom niet een heel kopje of glas leeg te drinken; het gaat alleen maar om proeven</w:t>
      </w:r>
      <w:r w:rsidR="00250691">
        <w:rPr>
          <w:rFonts w:ascii="Arial" w:hAnsi="Arial" w:cs="Arial"/>
          <w:sz w:val="24"/>
          <w:szCs w:val="24"/>
        </w:rPr>
        <w:t xml:space="preserve"> en ruiken</w:t>
      </w:r>
      <w:r w:rsidR="003A3CC7">
        <w:rPr>
          <w:rFonts w:ascii="Arial" w:hAnsi="Arial" w:cs="Arial"/>
          <w:sz w:val="24"/>
          <w:szCs w:val="24"/>
        </w:rPr>
        <w:t>.</w:t>
      </w:r>
    </w:p>
    <w:p w:rsidR="003D4676" w:rsidRDefault="003D4676" w:rsidP="00CC683C">
      <w:pPr>
        <w:spacing w:after="0" w:line="240" w:lineRule="auto"/>
        <w:rPr>
          <w:rFonts w:ascii="Arial" w:hAnsi="Arial" w:cs="Arial"/>
          <w:sz w:val="24"/>
          <w:szCs w:val="24"/>
        </w:rPr>
      </w:pPr>
      <w:r>
        <w:rPr>
          <w:rFonts w:ascii="Arial" w:hAnsi="Arial" w:cs="Arial"/>
          <w:sz w:val="24"/>
          <w:szCs w:val="24"/>
        </w:rPr>
        <w:t>Sint-Janskruid mag niet naast medicijnen gebruikt worden!</w:t>
      </w:r>
    </w:p>
    <w:p w:rsidR="00E74099" w:rsidRDefault="00E74099" w:rsidP="00CC683C">
      <w:pPr>
        <w:spacing w:after="0" w:line="240" w:lineRule="auto"/>
        <w:rPr>
          <w:rFonts w:ascii="Arial" w:hAnsi="Arial" w:cs="Arial"/>
          <w:sz w:val="24"/>
          <w:szCs w:val="24"/>
        </w:rPr>
      </w:pPr>
    </w:p>
    <w:p w:rsidR="00E74099" w:rsidRPr="00E74099" w:rsidRDefault="00E74099" w:rsidP="00CC683C">
      <w:pPr>
        <w:spacing w:after="0" w:line="240" w:lineRule="auto"/>
        <w:rPr>
          <w:rFonts w:ascii="Arial" w:hAnsi="Arial" w:cs="Arial"/>
          <w:b/>
          <w:sz w:val="24"/>
          <w:szCs w:val="24"/>
        </w:rPr>
      </w:pPr>
      <w:r w:rsidRPr="00E74099">
        <w:rPr>
          <w:rFonts w:ascii="Arial" w:hAnsi="Arial" w:cs="Arial"/>
          <w:b/>
          <w:sz w:val="24"/>
          <w:szCs w:val="24"/>
        </w:rPr>
        <w:t>Voorbereiding</w:t>
      </w:r>
    </w:p>
    <w:p w:rsidR="00E74099" w:rsidRDefault="00E74099" w:rsidP="00CC683C">
      <w:pPr>
        <w:spacing w:after="0" w:line="240" w:lineRule="auto"/>
        <w:rPr>
          <w:rFonts w:ascii="Arial" w:hAnsi="Arial" w:cs="Arial"/>
          <w:sz w:val="24"/>
          <w:szCs w:val="24"/>
        </w:rPr>
      </w:pPr>
      <w:r>
        <w:rPr>
          <w:rFonts w:ascii="Arial" w:hAnsi="Arial" w:cs="Arial"/>
          <w:sz w:val="24"/>
          <w:szCs w:val="24"/>
        </w:rPr>
        <w:t xml:space="preserve">Misschien is het een idee om leerlingen zelf een theekopje of een theeglas mee te laten nemen. Dit scheelt veel afval. Als leerlingen een thee geproefd </w:t>
      </w:r>
      <w:r w:rsidR="00250691">
        <w:rPr>
          <w:rFonts w:ascii="Arial" w:hAnsi="Arial" w:cs="Arial"/>
          <w:sz w:val="24"/>
          <w:szCs w:val="24"/>
        </w:rPr>
        <w:t xml:space="preserve">en geroken </w:t>
      </w:r>
      <w:r>
        <w:rPr>
          <w:rFonts w:ascii="Arial" w:hAnsi="Arial" w:cs="Arial"/>
          <w:sz w:val="24"/>
          <w:szCs w:val="24"/>
        </w:rPr>
        <w:t>hebben, moeten ze het kopje of het glas wel omspoelen voor ze de volgende thee proeven</w:t>
      </w:r>
      <w:r w:rsidR="00250691">
        <w:rPr>
          <w:rFonts w:ascii="Arial" w:hAnsi="Arial" w:cs="Arial"/>
          <w:sz w:val="24"/>
          <w:szCs w:val="24"/>
        </w:rPr>
        <w:t xml:space="preserve"> en ruiken</w:t>
      </w:r>
      <w:r>
        <w:rPr>
          <w:rFonts w:ascii="Arial" w:hAnsi="Arial" w:cs="Arial"/>
          <w:sz w:val="24"/>
          <w:szCs w:val="24"/>
        </w:rPr>
        <w:t>.</w:t>
      </w:r>
    </w:p>
    <w:p w:rsidR="0054755D" w:rsidRDefault="0054755D" w:rsidP="00CC683C">
      <w:pPr>
        <w:spacing w:after="0" w:line="240" w:lineRule="auto"/>
        <w:rPr>
          <w:rFonts w:ascii="Arial" w:hAnsi="Arial" w:cs="Arial"/>
          <w:sz w:val="24"/>
          <w:szCs w:val="24"/>
        </w:rPr>
      </w:pPr>
      <w:r>
        <w:rPr>
          <w:rFonts w:ascii="Arial" w:hAnsi="Arial" w:cs="Arial"/>
          <w:sz w:val="24"/>
          <w:szCs w:val="24"/>
        </w:rPr>
        <w:t xml:space="preserve">Lijnzaadbrood is te verkrijgen bij </w:t>
      </w:r>
      <w:proofErr w:type="spellStart"/>
      <w:r>
        <w:rPr>
          <w:rFonts w:ascii="Arial" w:hAnsi="Arial" w:cs="Arial"/>
          <w:sz w:val="24"/>
          <w:szCs w:val="24"/>
        </w:rPr>
        <w:t>Ekoplaza</w:t>
      </w:r>
      <w:proofErr w:type="spellEnd"/>
      <w:r>
        <w:rPr>
          <w:rFonts w:ascii="Arial" w:hAnsi="Arial" w:cs="Arial"/>
          <w:sz w:val="24"/>
          <w:szCs w:val="24"/>
        </w:rPr>
        <w:t>, u moet het waarschijnlijk wel bestellen.</w:t>
      </w:r>
    </w:p>
    <w:p w:rsidR="003A3CC7" w:rsidRDefault="003A3CC7" w:rsidP="00CC683C">
      <w:pPr>
        <w:spacing w:after="0" w:line="240" w:lineRule="auto"/>
        <w:rPr>
          <w:rFonts w:ascii="Arial" w:hAnsi="Arial" w:cs="Arial"/>
          <w:sz w:val="24"/>
          <w:szCs w:val="24"/>
        </w:rPr>
      </w:pPr>
    </w:p>
    <w:p w:rsidR="00CC683C" w:rsidRDefault="00C03B0B" w:rsidP="00CC683C">
      <w:pPr>
        <w:spacing w:after="0" w:line="240" w:lineRule="auto"/>
        <w:rPr>
          <w:rFonts w:ascii="Arial" w:hAnsi="Arial" w:cs="Arial"/>
          <w:sz w:val="24"/>
          <w:szCs w:val="24"/>
        </w:rPr>
      </w:pPr>
      <w:r>
        <w:rPr>
          <w:rFonts w:ascii="Arial" w:hAnsi="Arial" w:cs="Arial"/>
          <w:sz w:val="24"/>
          <w:szCs w:val="24"/>
        </w:rPr>
        <w:t>Sommige van de theeën zijn te koop bij Albert Heijn of de drogist.</w:t>
      </w:r>
      <w:r w:rsidR="006E3AF0">
        <w:rPr>
          <w:rFonts w:ascii="Arial" w:hAnsi="Arial" w:cs="Arial"/>
          <w:sz w:val="24"/>
          <w:szCs w:val="24"/>
        </w:rPr>
        <w:t xml:space="preserve"> </w:t>
      </w:r>
      <w:r w:rsidR="00E74099">
        <w:rPr>
          <w:rFonts w:ascii="Arial" w:hAnsi="Arial" w:cs="Arial"/>
          <w:sz w:val="24"/>
          <w:szCs w:val="24"/>
        </w:rPr>
        <w:t xml:space="preserve">De theeën </w:t>
      </w:r>
      <w:r w:rsidR="00AE1F9A">
        <w:rPr>
          <w:rFonts w:ascii="Arial" w:hAnsi="Arial" w:cs="Arial"/>
          <w:sz w:val="24"/>
          <w:szCs w:val="24"/>
        </w:rPr>
        <w:t xml:space="preserve">kunt u </w:t>
      </w:r>
      <w:r w:rsidR="006E3AF0">
        <w:rPr>
          <w:rFonts w:ascii="Arial" w:hAnsi="Arial" w:cs="Arial"/>
          <w:sz w:val="24"/>
          <w:szCs w:val="24"/>
        </w:rPr>
        <w:t xml:space="preserve">ook </w:t>
      </w:r>
      <w:r w:rsidR="00AE1F9A">
        <w:rPr>
          <w:rFonts w:ascii="Arial" w:hAnsi="Arial" w:cs="Arial"/>
          <w:sz w:val="24"/>
          <w:szCs w:val="24"/>
        </w:rPr>
        <w:t xml:space="preserve">bestellen op de hieronder genoemde websites. </w:t>
      </w:r>
      <w:r w:rsidR="00E74099">
        <w:rPr>
          <w:rFonts w:ascii="Arial" w:hAnsi="Arial" w:cs="Arial"/>
          <w:sz w:val="24"/>
          <w:szCs w:val="24"/>
        </w:rPr>
        <w:t>U hoeft ze niet allemaal aan te schaffen, u kunt een keuze maken uit de theeën.</w:t>
      </w:r>
      <w:r w:rsidR="00250691">
        <w:rPr>
          <w:rFonts w:ascii="Arial" w:hAnsi="Arial" w:cs="Arial"/>
          <w:sz w:val="24"/>
          <w:szCs w:val="24"/>
        </w:rPr>
        <w:t xml:space="preserve"> Zorgt u er wel voor dat er uit elke groep minstens één thee beschikbaar is.</w:t>
      </w:r>
    </w:p>
    <w:p w:rsidR="00CC683C" w:rsidRDefault="00862FAF" w:rsidP="00CC683C">
      <w:pPr>
        <w:spacing w:after="0" w:line="240" w:lineRule="auto"/>
        <w:rPr>
          <w:rFonts w:ascii="Arial" w:hAnsi="Arial" w:cs="Arial"/>
          <w:sz w:val="24"/>
          <w:szCs w:val="24"/>
        </w:rPr>
      </w:pPr>
      <w:r>
        <w:rPr>
          <w:rFonts w:ascii="Arial" w:hAnsi="Arial" w:cs="Arial"/>
          <w:sz w:val="24"/>
          <w:szCs w:val="24"/>
        </w:rPr>
        <w:t xml:space="preserve">  </w:t>
      </w:r>
    </w:p>
    <w:p w:rsidR="00CC683C" w:rsidRDefault="00D00193" w:rsidP="00CC683C">
      <w:pPr>
        <w:spacing w:after="0" w:line="240" w:lineRule="auto"/>
        <w:rPr>
          <w:rFonts w:ascii="Arial" w:hAnsi="Arial" w:cs="Arial"/>
          <w:sz w:val="24"/>
          <w:szCs w:val="24"/>
        </w:rPr>
      </w:pPr>
      <w:hyperlink r:id="rId5" w:history="1">
        <w:r w:rsidR="00CC683C" w:rsidRPr="009548E1">
          <w:rPr>
            <w:rStyle w:val="Hyperlink"/>
            <w:rFonts w:ascii="Arial" w:hAnsi="Arial" w:cs="Arial"/>
            <w:sz w:val="24"/>
            <w:szCs w:val="24"/>
          </w:rPr>
          <w:t>https://jacob-hooy.nl/theezakjes.html</w:t>
        </w:r>
      </w:hyperlink>
    </w:p>
    <w:p w:rsidR="00CC683C" w:rsidRDefault="00CC683C" w:rsidP="00CC683C">
      <w:pPr>
        <w:spacing w:after="0" w:line="240" w:lineRule="auto"/>
        <w:rPr>
          <w:rFonts w:ascii="Arial" w:hAnsi="Arial" w:cs="Arial"/>
          <w:sz w:val="24"/>
          <w:szCs w:val="24"/>
        </w:rPr>
      </w:pPr>
      <w:r w:rsidRPr="00CC683C">
        <w:rPr>
          <w:rFonts w:ascii="Arial" w:hAnsi="Arial" w:cs="Arial"/>
          <w:sz w:val="24"/>
          <w:szCs w:val="24"/>
        </w:rPr>
        <w:cr/>
        <w:t>https://the-art-of-tea-herbs-spices.nl/product-categorie/a-losse-thee/13-kruiden-thee/04-kruiden-thee/</w:t>
      </w:r>
    </w:p>
    <w:p w:rsidR="00CC683C" w:rsidRDefault="00CC683C" w:rsidP="00CC683C">
      <w:pPr>
        <w:spacing w:after="0" w:line="240" w:lineRule="auto"/>
        <w:rPr>
          <w:rFonts w:ascii="Arial" w:hAnsi="Arial" w:cs="Arial"/>
          <w:sz w:val="24"/>
          <w:szCs w:val="24"/>
        </w:rPr>
      </w:pPr>
    </w:p>
    <w:p w:rsidR="00CC683C" w:rsidRDefault="00D00193" w:rsidP="00CC683C">
      <w:pPr>
        <w:spacing w:after="0" w:line="240" w:lineRule="auto"/>
        <w:rPr>
          <w:rFonts w:ascii="Arial" w:hAnsi="Arial" w:cs="Arial"/>
          <w:sz w:val="24"/>
          <w:szCs w:val="24"/>
        </w:rPr>
      </w:pPr>
      <w:hyperlink r:id="rId6" w:history="1">
        <w:r w:rsidR="00CC683C" w:rsidRPr="009548E1">
          <w:rPr>
            <w:rStyle w:val="Hyperlink"/>
            <w:rFonts w:ascii="Arial" w:hAnsi="Arial" w:cs="Arial"/>
            <w:sz w:val="24"/>
            <w:szCs w:val="24"/>
          </w:rPr>
          <w:t>https://kruidenrijk.nl/product-categorie/losse-thee-kruiden-biol/</w:t>
        </w:r>
      </w:hyperlink>
    </w:p>
    <w:p w:rsidR="00CC683C" w:rsidRDefault="00CC683C" w:rsidP="00CC683C">
      <w:pPr>
        <w:spacing w:after="0" w:line="240" w:lineRule="auto"/>
        <w:rPr>
          <w:rFonts w:ascii="Arial" w:hAnsi="Arial" w:cs="Arial"/>
          <w:sz w:val="24"/>
          <w:szCs w:val="24"/>
        </w:rPr>
      </w:pPr>
    </w:p>
    <w:p w:rsidR="00AE1F9A" w:rsidRDefault="00AE1F9A" w:rsidP="00CC683C">
      <w:pPr>
        <w:spacing w:after="0" w:line="240" w:lineRule="auto"/>
        <w:rPr>
          <w:rFonts w:ascii="Arial" w:hAnsi="Arial" w:cs="Arial"/>
          <w:sz w:val="24"/>
          <w:szCs w:val="24"/>
        </w:rPr>
      </w:pPr>
    </w:p>
    <w:p w:rsidR="00AE1F9A" w:rsidRDefault="00AE1F9A" w:rsidP="00CC683C">
      <w:pPr>
        <w:spacing w:after="0" w:line="240" w:lineRule="auto"/>
        <w:rPr>
          <w:rFonts w:ascii="Arial" w:hAnsi="Arial" w:cs="Arial"/>
          <w:sz w:val="24"/>
          <w:szCs w:val="24"/>
        </w:rPr>
      </w:pPr>
      <w:r>
        <w:rPr>
          <w:rFonts w:ascii="Arial" w:hAnsi="Arial" w:cs="Arial"/>
          <w:sz w:val="24"/>
          <w:szCs w:val="24"/>
        </w:rPr>
        <w:t xml:space="preserve">Op het moment van schrijven zijn de volgende </w:t>
      </w:r>
      <w:r w:rsidR="004A6F82">
        <w:rPr>
          <w:rFonts w:ascii="Arial" w:hAnsi="Arial" w:cs="Arial"/>
          <w:sz w:val="24"/>
          <w:szCs w:val="24"/>
        </w:rPr>
        <w:t xml:space="preserve">enkelvoudige </w:t>
      </w:r>
      <w:r>
        <w:rPr>
          <w:rFonts w:ascii="Arial" w:hAnsi="Arial" w:cs="Arial"/>
          <w:sz w:val="24"/>
          <w:szCs w:val="24"/>
        </w:rPr>
        <w:t>theeën verkrijgbaar:</w:t>
      </w:r>
    </w:p>
    <w:p w:rsidR="00AE1F9A" w:rsidRDefault="00AE1F9A" w:rsidP="00CC683C">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2295"/>
        <w:gridCol w:w="2221"/>
        <w:gridCol w:w="2462"/>
        <w:gridCol w:w="2084"/>
      </w:tblGrid>
      <w:tr w:rsidR="00AE1F9A" w:rsidTr="00AE1F9A">
        <w:tc>
          <w:tcPr>
            <w:tcW w:w="2295" w:type="dxa"/>
          </w:tcPr>
          <w:p w:rsidR="00AE1F9A" w:rsidRDefault="00AE1F9A" w:rsidP="00CC683C">
            <w:pPr>
              <w:rPr>
                <w:rFonts w:ascii="Arial" w:hAnsi="Arial" w:cs="Arial"/>
                <w:sz w:val="24"/>
                <w:szCs w:val="24"/>
              </w:rPr>
            </w:pPr>
          </w:p>
        </w:tc>
        <w:tc>
          <w:tcPr>
            <w:tcW w:w="2221" w:type="dxa"/>
          </w:tcPr>
          <w:p w:rsidR="00AE1F9A" w:rsidRDefault="00AE1F9A" w:rsidP="00CC683C">
            <w:pPr>
              <w:rPr>
                <w:rFonts w:ascii="Arial" w:hAnsi="Arial" w:cs="Arial"/>
                <w:sz w:val="24"/>
                <w:szCs w:val="24"/>
              </w:rPr>
            </w:pPr>
            <w:r>
              <w:rPr>
                <w:rFonts w:ascii="Arial" w:hAnsi="Arial" w:cs="Arial"/>
                <w:sz w:val="24"/>
                <w:szCs w:val="24"/>
              </w:rPr>
              <w:t xml:space="preserve">Jacob </w:t>
            </w:r>
            <w:proofErr w:type="spellStart"/>
            <w:r>
              <w:rPr>
                <w:rFonts w:ascii="Arial" w:hAnsi="Arial" w:cs="Arial"/>
                <w:sz w:val="24"/>
                <w:szCs w:val="24"/>
              </w:rPr>
              <w:t>Hooy</w:t>
            </w:r>
            <w:proofErr w:type="spellEnd"/>
          </w:p>
        </w:tc>
        <w:tc>
          <w:tcPr>
            <w:tcW w:w="2462" w:type="dxa"/>
          </w:tcPr>
          <w:p w:rsidR="00AE1F9A" w:rsidRDefault="00AE1F9A" w:rsidP="00CC683C">
            <w:pPr>
              <w:rPr>
                <w:rFonts w:ascii="Arial" w:hAnsi="Arial" w:cs="Arial"/>
                <w:sz w:val="24"/>
                <w:szCs w:val="24"/>
              </w:rPr>
            </w:pPr>
            <w:r>
              <w:rPr>
                <w:rFonts w:ascii="Arial" w:hAnsi="Arial" w:cs="Arial"/>
                <w:sz w:val="24"/>
                <w:szCs w:val="24"/>
              </w:rPr>
              <w:t>The art of tea …</w:t>
            </w:r>
          </w:p>
        </w:tc>
        <w:tc>
          <w:tcPr>
            <w:tcW w:w="2084" w:type="dxa"/>
          </w:tcPr>
          <w:p w:rsidR="00AE1F9A" w:rsidRDefault="00AE1F9A" w:rsidP="00CC683C">
            <w:pPr>
              <w:rPr>
                <w:rFonts w:ascii="Arial" w:hAnsi="Arial" w:cs="Arial"/>
                <w:sz w:val="24"/>
                <w:szCs w:val="24"/>
              </w:rPr>
            </w:pPr>
            <w:r>
              <w:rPr>
                <w:rFonts w:ascii="Arial" w:hAnsi="Arial" w:cs="Arial"/>
                <w:sz w:val="24"/>
                <w:szCs w:val="24"/>
              </w:rPr>
              <w:t>Het Kruidenrijk</w:t>
            </w:r>
          </w:p>
        </w:tc>
      </w:tr>
      <w:tr w:rsidR="00AE1F9A" w:rsidTr="00C00049">
        <w:tc>
          <w:tcPr>
            <w:tcW w:w="9062" w:type="dxa"/>
            <w:gridSpan w:val="4"/>
          </w:tcPr>
          <w:p w:rsidR="00AE1F9A" w:rsidRPr="002764BB" w:rsidRDefault="00AE1F9A" w:rsidP="00CC683C">
            <w:pPr>
              <w:rPr>
                <w:rFonts w:ascii="Arial" w:hAnsi="Arial" w:cs="Arial"/>
                <w:b/>
                <w:sz w:val="24"/>
                <w:szCs w:val="24"/>
              </w:rPr>
            </w:pPr>
            <w:r w:rsidRPr="002764BB">
              <w:rPr>
                <w:rFonts w:ascii="Arial" w:hAnsi="Arial" w:cs="Arial"/>
                <w:b/>
                <w:sz w:val="24"/>
                <w:szCs w:val="24"/>
              </w:rPr>
              <w:t>Bitterstoffen</w:t>
            </w:r>
          </w:p>
        </w:tc>
      </w:tr>
      <w:tr w:rsidR="00AE1F9A" w:rsidTr="00AE1F9A">
        <w:tc>
          <w:tcPr>
            <w:tcW w:w="2295" w:type="dxa"/>
          </w:tcPr>
          <w:p w:rsidR="00AE1F9A" w:rsidRDefault="003D4676" w:rsidP="00CC683C">
            <w:pPr>
              <w:rPr>
                <w:rFonts w:ascii="Arial" w:hAnsi="Arial" w:cs="Arial"/>
                <w:sz w:val="24"/>
                <w:szCs w:val="24"/>
              </w:rPr>
            </w:pPr>
            <w:r>
              <w:rPr>
                <w:rFonts w:ascii="Arial" w:hAnsi="Arial" w:cs="Arial"/>
                <w:sz w:val="24"/>
                <w:szCs w:val="24"/>
              </w:rPr>
              <w:t>(Sint)-</w:t>
            </w:r>
            <w:r w:rsidR="00AE1F9A">
              <w:rPr>
                <w:rFonts w:ascii="Arial" w:hAnsi="Arial" w:cs="Arial"/>
                <w:sz w:val="24"/>
                <w:szCs w:val="24"/>
              </w:rPr>
              <w:t>Janskruid</w:t>
            </w:r>
          </w:p>
        </w:tc>
        <w:tc>
          <w:tcPr>
            <w:tcW w:w="2221" w:type="dxa"/>
          </w:tcPr>
          <w:p w:rsidR="00AE1F9A" w:rsidRDefault="00AE1F9A" w:rsidP="00CC683C">
            <w:pPr>
              <w:rPr>
                <w:rFonts w:ascii="Arial" w:hAnsi="Arial" w:cs="Arial"/>
                <w:sz w:val="24"/>
                <w:szCs w:val="24"/>
              </w:rPr>
            </w:pPr>
          </w:p>
        </w:tc>
        <w:tc>
          <w:tcPr>
            <w:tcW w:w="2462" w:type="dxa"/>
          </w:tcPr>
          <w:p w:rsidR="00AE1F9A" w:rsidRDefault="00AE1F9A" w:rsidP="00CC683C">
            <w:pPr>
              <w:rPr>
                <w:rFonts w:ascii="Arial" w:hAnsi="Arial" w:cs="Arial"/>
                <w:sz w:val="24"/>
                <w:szCs w:val="24"/>
              </w:rPr>
            </w:pPr>
          </w:p>
        </w:tc>
        <w:tc>
          <w:tcPr>
            <w:tcW w:w="2084" w:type="dxa"/>
          </w:tcPr>
          <w:p w:rsidR="00AE1F9A" w:rsidRDefault="002764BB" w:rsidP="00CC683C">
            <w:pPr>
              <w:rPr>
                <w:rFonts w:ascii="Arial" w:hAnsi="Arial" w:cs="Arial"/>
                <w:sz w:val="24"/>
                <w:szCs w:val="24"/>
              </w:rPr>
            </w:pPr>
            <w:r>
              <w:rPr>
                <w:rFonts w:ascii="Arial" w:hAnsi="Arial" w:cs="Arial"/>
                <w:sz w:val="24"/>
                <w:szCs w:val="24"/>
              </w:rPr>
              <w:t>x</w:t>
            </w:r>
          </w:p>
        </w:tc>
      </w:tr>
      <w:tr w:rsidR="00AE1F9A" w:rsidTr="00AE1F9A">
        <w:tc>
          <w:tcPr>
            <w:tcW w:w="2295" w:type="dxa"/>
          </w:tcPr>
          <w:p w:rsidR="00AE1F9A" w:rsidRDefault="00AE1F9A" w:rsidP="00CC683C">
            <w:pPr>
              <w:rPr>
                <w:rFonts w:ascii="Arial" w:hAnsi="Arial" w:cs="Arial"/>
                <w:sz w:val="24"/>
                <w:szCs w:val="24"/>
              </w:rPr>
            </w:pPr>
            <w:r>
              <w:rPr>
                <w:rFonts w:ascii="Arial" w:hAnsi="Arial" w:cs="Arial"/>
                <w:sz w:val="24"/>
                <w:szCs w:val="24"/>
              </w:rPr>
              <w:t>Paardenbloem</w:t>
            </w:r>
          </w:p>
        </w:tc>
        <w:tc>
          <w:tcPr>
            <w:tcW w:w="2221" w:type="dxa"/>
          </w:tcPr>
          <w:p w:rsidR="00AE1F9A" w:rsidRDefault="00AE1F9A" w:rsidP="00CC683C">
            <w:pPr>
              <w:rPr>
                <w:rFonts w:ascii="Arial" w:hAnsi="Arial" w:cs="Arial"/>
                <w:sz w:val="24"/>
                <w:szCs w:val="24"/>
              </w:rPr>
            </w:pPr>
          </w:p>
        </w:tc>
        <w:tc>
          <w:tcPr>
            <w:tcW w:w="2462" w:type="dxa"/>
          </w:tcPr>
          <w:p w:rsidR="00AE1F9A" w:rsidRDefault="00AE1F9A" w:rsidP="00CC683C">
            <w:pPr>
              <w:rPr>
                <w:rFonts w:ascii="Arial" w:hAnsi="Arial" w:cs="Arial"/>
                <w:sz w:val="24"/>
                <w:szCs w:val="24"/>
              </w:rPr>
            </w:pPr>
          </w:p>
        </w:tc>
        <w:tc>
          <w:tcPr>
            <w:tcW w:w="2084" w:type="dxa"/>
          </w:tcPr>
          <w:p w:rsidR="00AE1F9A" w:rsidRDefault="004A6F82" w:rsidP="00CC683C">
            <w:pPr>
              <w:rPr>
                <w:rFonts w:ascii="Arial" w:hAnsi="Arial" w:cs="Arial"/>
                <w:sz w:val="24"/>
                <w:szCs w:val="24"/>
              </w:rPr>
            </w:pPr>
            <w:r>
              <w:rPr>
                <w:rFonts w:ascii="Arial" w:hAnsi="Arial" w:cs="Arial"/>
                <w:sz w:val="24"/>
                <w:szCs w:val="24"/>
              </w:rPr>
              <w:t>x</w:t>
            </w:r>
          </w:p>
        </w:tc>
      </w:tr>
      <w:tr w:rsidR="002764BB" w:rsidTr="00BE2D27">
        <w:tc>
          <w:tcPr>
            <w:tcW w:w="9062" w:type="dxa"/>
            <w:gridSpan w:val="4"/>
          </w:tcPr>
          <w:p w:rsidR="002764BB" w:rsidRPr="002764BB" w:rsidRDefault="002764BB" w:rsidP="00CC683C">
            <w:pPr>
              <w:rPr>
                <w:rFonts w:ascii="Arial" w:hAnsi="Arial" w:cs="Arial"/>
                <w:b/>
                <w:sz w:val="24"/>
                <w:szCs w:val="24"/>
              </w:rPr>
            </w:pPr>
            <w:r w:rsidRPr="002764BB">
              <w:rPr>
                <w:rFonts w:ascii="Arial" w:hAnsi="Arial" w:cs="Arial"/>
                <w:b/>
                <w:sz w:val="24"/>
                <w:szCs w:val="24"/>
              </w:rPr>
              <w:t xml:space="preserve">Looistoffen  </w:t>
            </w:r>
          </w:p>
        </w:tc>
      </w:tr>
      <w:tr w:rsidR="00AE1F9A" w:rsidTr="00AE1F9A">
        <w:tc>
          <w:tcPr>
            <w:tcW w:w="2295" w:type="dxa"/>
          </w:tcPr>
          <w:p w:rsidR="00AE1F9A" w:rsidRDefault="002764BB" w:rsidP="00CC683C">
            <w:pPr>
              <w:rPr>
                <w:rFonts w:ascii="Arial" w:hAnsi="Arial" w:cs="Arial"/>
                <w:sz w:val="24"/>
                <w:szCs w:val="24"/>
              </w:rPr>
            </w:pPr>
            <w:proofErr w:type="spellStart"/>
            <w:r>
              <w:rPr>
                <w:rFonts w:ascii="Arial" w:hAnsi="Arial" w:cs="Arial"/>
                <w:sz w:val="24"/>
                <w:szCs w:val="24"/>
              </w:rPr>
              <w:t>Agrimonie</w:t>
            </w:r>
            <w:proofErr w:type="spellEnd"/>
            <w:r>
              <w:rPr>
                <w:rFonts w:ascii="Arial" w:hAnsi="Arial" w:cs="Arial"/>
                <w:sz w:val="24"/>
                <w:szCs w:val="24"/>
              </w:rPr>
              <w:t xml:space="preserve"> </w:t>
            </w:r>
          </w:p>
        </w:tc>
        <w:tc>
          <w:tcPr>
            <w:tcW w:w="2221" w:type="dxa"/>
          </w:tcPr>
          <w:p w:rsidR="00AE1F9A" w:rsidRDefault="00AE1F9A" w:rsidP="00CC683C">
            <w:pPr>
              <w:rPr>
                <w:rFonts w:ascii="Arial" w:hAnsi="Arial" w:cs="Arial"/>
                <w:sz w:val="24"/>
                <w:szCs w:val="24"/>
              </w:rPr>
            </w:pPr>
          </w:p>
        </w:tc>
        <w:tc>
          <w:tcPr>
            <w:tcW w:w="2462" w:type="dxa"/>
          </w:tcPr>
          <w:p w:rsidR="00AE1F9A" w:rsidRDefault="00AE1F9A" w:rsidP="00CC683C">
            <w:pPr>
              <w:rPr>
                <w:rFonts w:ascii="Arial" w:hAnsi="Arial" w:cs="Arial"/>
                <w:sz w:val="24"/>
                <w:szCs w:val="24"/>
              </w:rPr>
            </w:pPr>
          </w:p>
        </w:tc>
        <w:tc>
          <w:tcPr>
            <w:tcW w:w="2084" w:type="dxa"/>
          </w:tcPr>
          <w:p w:rsidR="00AE1F9A"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Braam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Brandnetel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r>
              <w:rPr>
                <w:rFonts w:ascii="Arial" w:hAnsi="Arial" w:cs="Arial"/>
                <w:sz w:val="24"/>
                <w:szCs w:val="24"/>
              </w:rPr>
              <w:t>x</w:t>
            </w: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Guldenroede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Moerasspirea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4A6F82"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Vrouwenmantel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4A6F82" w:rsidP="00CC683C">
            <w:pPr>
              <w:rPr>
                <w:rFonts w:ascii="Arial" w:hAnsi="Arial" w:cs="Arial"/>
                <w:sz w:val="24"/>
                <w:szCs w:val="24"/>
              </w:rPr>
            </w:pPr>
            <w:r>
              <w:rPr>
                <w:rFonts w:ascii="Arial" w:hAnsi="Arial" w:cs="Arial"/>
                <w:sz w:val="24"/>
                <w:szCs w:val="24"/>
              </w:rPr>
              <w:t>x</w:t>
            </w:r>
          </w:p>
        </w:tc>
      </w:tr>
      <w:tr w:rsidR="002764BB" w:rsidTr="00AF110D">
        <w:tc>
          <w:tcPr>
            <w:tcW w:w="9062" w:type="dxa"/>
            <w:gridSpan w:val="4"/>
          </w:tcPr>
          <w:p w:rsidR="002764BB" w:rsidRPr="002764BB" w:rsidRDefault="002764BB" w:rsidP="00CC683C">
            <w:pPr>
              <w:rPr>
                <w:rFonts w:ascii="Arial" w:hAnsi="Arial" w:cs="Arial"/>
                <w:b/>
                <w:sz w:val="24"/>
                <w:szCs w:val="24"/>
              </w:rPr>
            </w:pPr>
            <w:r w:rsidRPr="002764BB">
              <w:rPr>
                <w:rFonts w:ascii="Arial" w:hAnsi="Arial" w:cs="Arial"/>
                <w:b/>
                <w:sz w:val="24"/>
                <w:szCs w:val="24"/>
              </w:rPr>
              <w:t xml:space="preserve">Slijmstoffen </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Kaasjeskruid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Fenegriek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F553FD">
        <w:tc>
          <w:tcPr>
            <w:tcW w:w="9062" w:type="dxa"/>
            <w:gridSpan w:val="4"/>
          </w:tcPr>
          <w:p w:rsidR="002764BB" w:rsidRPr="002764BB" w:rsidRDefault="002764BB" w:rsidP="00CC683C">
            <w:pPr>
              <w:rPr>
                <w:rFonts w:ascii="Arial" w:hAnsi="Arial" w:cs="Arial"/>
                <w:b/>
                <w:sz w:val="24"/>
                <w:szCs w:val="24"/>
              </w:rPr>
            </w:pPr>
            <w:r w:rsidRPr="002764BB">
              <w:rPr>
                <w:rFonts w:ascii="Arial" w:hAnsi="Arial" w:cs="Arial"/>
                <w:b/>
                <w:sz w:val="24"/>
                <w:szCs w:val="24"/>
              </w:rPr>
              <w:t>Etherische olie</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lastRenderedPageBreak/>
              <w:t xml:space="preserve">Citroenmelisse </w:t>
            </w:r>
          </w:p>
        </w:tc>
        <w:tc>
          <w:tcPr>
            <w:tcW w:w="2221" w:type="dxa"/>
          </w:tcPr>
          <w:p w:rsidR="002764BB" w:rsidRDefault="002764BB" w:rsidP="00CC683C">
            <w:pPr>
              <w:rPr>
                <w:rFonts w:ascii="Arial" w:hAnsi="Arial" w:cs="Arial"/>
                <w:sz w:val="24"/>
                <w:szCs w:val="24"/>
              </w:rPr>
            </w:pPr>
          </w:p>
        </w:tc>
        <w:tc>
          <w:tcPr>
            <w:tcW w:w="2462" w:type="dxa"/>
          </w:tcPr>
          <w:p w:rsidR="002764BB" w:rsidRDefault="002764BB" w:rsidP="00CC683C">
            <w:pPr>
              <w:rPr>
                <w:rFonts w:ascii="Arial" w:hAnsi="Arial" w:cs="Arial"/>
                <w:sz w:val="24"/>
                <w:szCs w:val="24"/>
              </w:rPr>
            </w:pP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Kamille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r>
              <w:rPr>
                <w:rFonts w:ascii="Arial" w:hAnsi="Arial" w:cs="Arial"/>
                <w:sz w:val="24"/>
                <w:szCs w:val="24"/>
              </w:rPr>
              <w:t>x</w:t>
            </w:r>
          </w:p>
        </w:tc>
        <w:tc>
          <w:tcPr>
            <w:tcW w:w="2084" w:type="dxa"/>
          </w:tcPr>
          <w:p w:rsidR="002764BB" w:rsidRDefault="004A6F82"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Pepermunt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r>
              <w:rPr>
                <w:rFonts w:ascii="Arial" w:hAnsi="Arial" w:cs="Arial"/>
                <w:sz w:val="24"/>
                <w:szCs w:val="24"/>
              </w:rPr>
              <w:t>x</w:t>
            </w: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Salie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r>
              <w:rPr>
                <w:rFonts w:ascii="Arial" w:hAnsi="Arial" w:cs="Arial"/>
                <w:sz w:val="24"/>
                <w:szCs w:val="24"/>
              </w:rPr>
              <w:t>x</w:t>
            </w: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r w:rsidR="002764BB" w:rsidTr="00AE1F9A">
        <w:tc>
          <w:tcPr>
            <w:tcW w:w="2295" w:type="dxa"/>
          </w:tcPr>
          <w:p w:rsidR="002764BB" w:rsidRDefault="002764BB" w:rsidP="00CC683C">
            <w:pPr>
              <w:rPr>
                <w:rFonts w:ascii="Arial" w:hAnsi="Arial" w:cs="Arial"/>
                <w:sz w:val="24"/>
                <w:szCs w:val="24"/>
              </w:rPr>
            </w:pPr>
            <w:r>
              <w:rPr>
                <w:rFonts w:ascii="Arial" w:hAnsi="Arial" w:cs="Arial"/>
                <w:sz w:val="24"/>
                <w:szCs w:val="24"/>
              </w:rPr>
              <w:t xml:space="preserve">Venkel </w:t>
            </w:r>
          </w:p>
        </w:tc>
        <w:tc>
          <w:tcPr>
            <w:tcW w:w="2221" w:type="dxa"/>
          </w:tcPr>
          <w:p w:rsidR="002764BB" w:rsidRDefault="002764BB" w:rsidP="00CC683C">
            <w:pPr>
              <w:rPr>
                <w:rFonts w:ascii="Arial" w:hAnsi="Arial" w:cs="Arial"/>
                <w:sz w:val="24"/>
                <w:szCs w:val="24"/>
              </w:rPr>
            </w:pPr>
            <w:r>
              <w:rPr>
                <w:rFonts w:ascii="Arial" w:hAnsi="Arial" w:cs="Arial"/>
                <w:sz w:val="24"/>
                <w:szCs w:val="24"/>
              </w:rPr>
              <w:t>x</w:t>
            </w:r>
          </w:p>
        </w:tc>
        <w:tc>
          <w:tcPr>
            <w:tcW w:w="2462" w:type="dxa"/>
          </w:tcPr>
          <w:p w:rsidR="002764BB" w:rsidRDefault="002764BB" w:rsidP="00CC683C">
            <w:pPr>
              <w:rPr>
                <w:rFonts w:ascii="Arial" w:hAnsi="Arial" w:cs="Arial"/>
                <w:sz w:val="24"/>
                <w:szCs w:val="24"/>
              </w:rPr>
            </w:pPr>
            <w:r>
              <w:rPr>
                <w:rFonts w:ascii="Arial" w:hAnsi="Arial" w:cs="Arial"/>
                <w:sz w:val="24"/>
                <w:szCs w:val="24"/>
              </w:rPr>
              <w:t>x</w:t>
            </w:r>
          </w:p>
        </w:tc>
        <w:tc>
          <w:tcPr>
            <w:tcW w:w="2084" w:type="dxa"/>
          </w:tcPr>
          <w:p w:rsidR="002764BB" w:rsidRDefault="002764BB" w:rsidP="00CC683C">
            <w:pPr>
              <w:rPr>
                <w:rFonts w:ascii="Arial" w:hAnsi="Arial" w:cs="Arial"/>
                <w:sz w:val="24"/>
                <w:szCs w:val="24"/>
              </w:rPr>
            </w:pPr>
            <w:r>
              <w:rPr>
                <w:rFonts w:ascii="Arial" w:hAnsi="Arial" w:cs="Arial"/>
                <w:sz w:val="24"/>
                <w:szCs w:val="24"/>
              </w:rPr>
              <w:t>x</w:t>
            </w:r>
          </w:p>
        </w:tc>
      </w:tr>
    </w:tbl>
    <w:p w:rsidR="008C5FEB" w:rsidRDefault="008C5FEB" w:rsidP="00CC683C">
      <w:pPr>
        <w:spacing w:after="0" w:line="240" w:lineRule="auto"/>
        <w:rPr>
          <w:rFonts w:ascii="Arial" w:hAnsi="Arial" w:cs="Arial"/>
          <w:sz w:val="24"/>
          <w:szCs w:val="24"/>
        </w:rPr>
      </w:pPr>
    </w:p>
    <w:p w:rsidR="003D4676" w:rsidRDefault="003D4676" w:rsidP="00CC683C">
      <w:pPr>
        <w:spacing w:after="0" w:line="240" w:lineRule="auto"/>
        <w:rPr>
          <w:rFonts w:ascii="Arial" w:hAnsi="Arial" w:cs="Arial"/>
          <w:sz w:val="24"/>
          <w:szCs w:val="24"/>
        </w:rPr>
      </w:pPr>
      <w:r>
        <w:rPr>
          <w:rFonts w:ascii="Arial" w:hAnsi="Arial" w:cs="Arial"/>
          <w:sz w:val="24"/>
          <w:szCs w:val="24"/>
        </w:rPr>
        <w:t>Groene thee kan ook nog gebruikt worden in de groep met looistoffen.</w:t>
      </w:r>
    </w:p>
    <w:p w:rsidR="003D4676" w:rsidRDefault="003D4676" w:rsidP="00CC683C">
      <w:pPr>
        <w:spacing w:after="0" w:line="240" w:lineRule="auto"/>
        <w:rPr>
          <w:rFonts w:ascii="Arial" w:hAnsi="Arial" w:cs="Arial"/>
          <w:sz w:val="24"/>
          <w:szCs w:val="24"/>
        </w:rPr>
      </w:pPr>
    </w:p>
    <w:p w:rsidR="00CC683C" w:rsidRDefault="004A6F82" w:rsidP="00CC683C">
      <w:pPr>
        <w:spacing w:after="0" w:line="240" w:lineRule="auto"/>
        <w:rPr>
          <w:rFonts w:ascii="Arial" w:hAnsi="Arial" w:cs="Arial"/>
          <w:sz w:val="24"/>
          <w:szCs w:val="24"/>
        </w:rPr>
      </w:pPr>
      <w:r>
        <w:rPr>
          <w:rFonts w:ascii="Arial" w:hAnsi="Arial" w:cs="Arial"/>
          <w:sz w:val="24"/>
          <w:szCs w:val="24"/>
        </w:rPr>
        <w:t xml:space="preserve">Bij Jacob </w:t>
      </w:r>
      <w:proofErr w:type="spellStart"/>
      <w:r>
        <w:rPr>
          <w:rFonts w:ascii="Arial" w:hAnsi="Arial" w:cs="Arial"/>
          <w:sz w:val="24"/>
          <w:szCs w:val="24"/>
        </w:rPr>
        <w:t>Hooy</w:t>
      </w:r>
      <w:proofErr w:type="spellEnd"/>
      <w:r>
        <w:rPr>
          <w:rFonts w:ascii="Arial" w:hAnsi="Arial" w:cs="Arial"/>
          <w:sz w:val="24"/>
          <w:szCs w:val="24"/>
        </w:rPr>
        <w:t xml:space="preserve"> gaat het om theezakjes die in doosjes zi</w:t>
      </w:r>
      <w:r w:rsidR="003A3CC7">
        <w:rPr>
          <w:rFonts w:ascii="Arial" w:hAnsi="Arial" w:cs="Arial"/>
          <w:sz w:val="24"/>
          <w:szCs w:val="24"/>
        </w:rPr>
        <w:t xml:space="preserve">jn verpakt. Gebruiksaanwijzing: doe het zakje in een kopje </w:t>
      </w:r>
      <w:r w:rsidR="00250691">
        <w:rPr>
          <w:rFonts w:ascii="Arial" w:hAnsi="Arial" w:cs="Arial"/>
          <w:sz w:val="24"/>
          <w:szCs w:val="24"/>
        </w:rPr>
        <w:t xml:space="preserve">(150 – 200 </w:t>
      </w:r>
      <w:proofErr w:type="spellStart"/>
      <w:r w:rsidR="00250691">
        <w:rPr>
          <w:rFonts w:ascii="Arial" w:hAnsi="Arial" w:cs="Arial"/>
          <w:sz w:val="24"/>
          <w:szCs w:val="24"/>
        </w:rPr>
        <w:t>mL</w:t>
      </w:r>
      <w:proofErr w:type="spellEnd"/>
      <w:r w:rsidR="00250691">
        <w:rPr>
          <w:rFonts w:ascii="Arial" w:hAnsi="Arial" w:cs="Arial"/>
          <w:sz w:val="24"/>
          <w:szCs w:val="24"/>
        </w:rPr>
        <w:t>)</w:t>
      </w:r>
      <w:r w:rsidR="003A3CC7">
        <w:rPr>
          <w:rFonts w:ascii="Arial" w:hAnsi="Arial" w:cs="Arial"/>
          <w:sz w:val="24"/>
          <w:szCs w:val="24"/>
        </w:rPr>
        <w:t>en overgiet dit met kokend water,</w:t>
      </w:r>
      <w:r w:rsidR="00250691">
        <w:rPr>
          <w:rFonts w:ascii="Arial" w:hAnsi="Arial" w:cs="Arial"/>
          <w:sz w:val="24"/>
          <w:szCs w:val="24"/>
        </w:rPr>
        <w:t xml:space="preserve"> </w:t>
      </w:r>
      <w:r w:rsidR="003A3CC7">
        <w:rPr>
          <w:rFonts w:ascii="Arial" w:hAnsi="Arial" w:cs="Arial"/>
          <w:sz w:val="24"/>
          <w:szCs w:val="24"/>
        </w:rPr>
        <w:t xml:space="preserve">5 – 10 minuten laten trekken. De gebruiksaanwijzing staat ook op het doosje. De theeën mogen gezoet worden, maar dat is bij deze proeverij niet aan de orde. Het gaat om de pure smaak van de kruidenthee. </w:t>
      </w:r>
    </w:p>
    <w:p w:rsidR="003A3CC7" w:rsidRDefault="003A3CC7" w:rsidP="00CC683C">
      <w:pPr>
        <w:spacing w:after="0" w:line="240" w:lineRule="auto"/>
        <w:rPr>
          <w:rFonts w:ascii="Arial" w:hAnsi="Arial" w:cs="Arial"/>
          <w:sz w:val="24"/>
          <w:szCs w:val="24"/>
        </w:rPr>
      </w:pPr>
      <w:r>
        <w:rPr>
          <w:rFonts w:ascii="Arial" w:hAnsi="Arial" w:cs="Arial"/>
          <w:sz w:val="24"/>
          <w:szCs w:val="24"/>
        </w:rPr>
        <w:t xml:space="preserve">Bij The Art of Tea, </w:t>
      </w:r>
      <w:proofErr w:type="spellStart"/>
      <w:r>
        <w:rPr>
          <w:rFonts w:ascii="Arial" w:hAnsi="Arial" w:cs="Arial"/>
          <w:sz w:val="24"/>
          <w:szCs w:val="24"/>
        </w:rPr>
        <w:t>Herbs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Spices</w:t>
      </w:r>
      <w:proofErr w:type="spellEnd"/>
      <w:r>
        <w:rPr>
          <w:rFonts w:ascii="Arial" w:hAnsi="Arial" w:cs="Arial"/>
          <w:sz w:val="24"/>
          <w:szCs w:val="24"/>
        </w:rPr>
        <w:t xml:space="preserve"> gaat het om losse thee. Gebruiksaanwijzing: doe 2 theelepels thee in een kopje en overgiet dit met kokend water, 5 – 7 minuten laten trekken.</w:t>
      </w:r>
      <w:r w:rsidR="008C5FEB">
        <w:rPr>
          <w:rFonts w:ascii="Arial" w:hAnsi="Arial" w:cs="Arial"/>
          <w:sz w:val="24"/>
          <w:szCs w:val="24"/>
        </w:rPr>
        <w:t xml:space="preserve"> </w:t>
      </w:r>
      <w:r>
        <w:rPr>
          <w:rFonts w:ascii="Arial" w:hAnsi="Arial" w:cs="Arial"/>
          <w:sz w:val="24"/>
          <w:szCs w:val="24"/>
        </w:rPr>
        <w:t>Venkel moet 10 minuten trekken; zaden zijn wat moeilijker te extraheren.</w:t>
      </w:r>
    </w:p>
    <w:p w:rsidR="003A3CC7" w:rsidRDefault="003A3CC7" w:rsidP="00CC683C">
      <w:pPr>
        <w:spacing w:after="0" w:line="240" w:lineRule="auto"/>
        <w:rPr>
          <w:rFonts w:ascii="Arial" w:hAnsi="Arial" w:cs="Arial"/>
          <w:sz w:val="24"/>
          <w:szCs w:val="24"/>
        </w:rPr>
      </w:pPr>
      <w:r>
        <w:rPr>
          <w:rFonts w:ascii="Arial" w:hAnsi="Arial" w:cs="Arial"/>
          <w:sz w:val="24"/>
          <w:szCs w:val="24"/>
        </w:rPr>
        <w:t>Het Kruidenrijk verkoopt alleen maar losse thee. Op de website s</w:t>
      </w:r>
      <w:r w:rsidR="009A721D">
        <w:rPr>
          <w:rFonts w:ascii="Arial" w:hAnsi="Arial" w:cs="Arial"/>
          <w:sz w:val="24"/>
          <w:szCs w:val="24"/>
        </w:rPr>
        <w:t xml:space="preserve">taan geen gebruiksaanwijzingen. De leerlingen kunnen anderhalve theelepel per kopje gebruiken. </w:t>
      </w:r>
      <w:r w:rsidR="008C5FEB">
        <w:rPr>
          <w:rFonts w:ascii="Arial" w:hAnsi="Arial" w:cs="Arial"/>
          <w:sz w:val="24"/>
          <w:szCs w:val="24"/>
        </w:rPr>
        <w:t xml:space="preserve">Voor kaasjeskruid is lauw water nodig, omdat dit kruid uit tere bloemen bestaat. </w:t>
      </w:r>
      <w:r w:rsidR="009A721D">
        <w:rPr>
          <w:rFonts w:ascii="Arial" w:hAnsi="Arial" w:cs="Arial"/>
          <w:sz w:val="24"/>
          <w:szCs w:val="24"/>
        </w:rPr>
        <w:t xml:space="preserve">Fenegriek bestaat </w:t>
      </w:r>
      <w:r w:rsidR="0054755D">
        <w:rPr>
          <w:rFonts w:ascii="Arial" w:hAnsi="Arial" w:cs="Arial"/>
          <w:sz w:val="24"/>
          <w:szCs w:val="24"/>
        </w:rPr>
        <w:t>uit zaden, dus deze</w:t>
      </w:r>
      <w:r w:rsidR="009A721D">
        <w:rPr>
          <w:rFonts w:ascii="Arial" w:hAnsi="Arial" w:cs="Arial"/>
          <w:sz w:val="24"/>
          <w:szCs w:val="24"/>
        </w:rPr>
        <w:t xml:space="preserve"> thee moet</w:t>
      </w:r>
      <w:r w:rsidR="0054755D">
        <w:rPr>
          <w:rFonts w:ascii="Arial" w:hAnsi="Arial" w:cs="Arial"/>
          <w:sz w:val="24"/>
          <w:szCs w:val="24"/>
        </w:rPr>
        <w:t xml:space="preserve"> ook wat langer trekken.</w:t>
      </w:r>
    </w:p>
    <w:p w:rsidR="009A721D" w:rsidRDefault="009A721D" w:rsidP="00CC683C">
      <w:pPr>
        <w:spacing w:after="0" w:line="240" w:lineRule="auto"/>
        <w:rPr>
          <w:rFonts w:ascii="Arial" w:hAnsi="Arial" w:cs="Arial"/>
          <w:sz w:val="24"/>
          <w:szCs w:val="24"/>
        </w:rPr>
      </w:pPr>
    </w:p>
    <w:p w:rsidR="009A721D" w:rsidRDefault="009A721D" w:rsidP="00CC683C">
      <w:pPr>
        <w:spacing w:after="0" w:line="240" w:lineRule="auto"/>
        <w:rPr>
          <w:rFonts w:ascii="Arial" w:hAnsi="Arial" w:cs="Arial"/>
          <w:sz w:val="24"/>
          <w:szCs w:val="24"/>
        </w:rPr>
      </w:pPr>
      <w:r>
        <w:rPr>
          <w:rFonts w:ascii="Arial" w:hAnsi="Arial" w:cs="Arial"/>
          <w:sz w:val="24"/>
          <w:szCs w:val="24"/>
        </w:rPr>
        <w:t>De theeën met etherische olie moeten afgedekt zijn tijdens het trekken omdat deze olie snel vervliegt.</w:t>
      </w:r>
    </w:p>
    <w:p w:rsidR="00250691" w:rsidRDefault="00250691" w:rsidP="00CC683C">
      <w:pPr>
        <w:spacing w:after="0" w:line="240" w:lineRule="auto"/>
        <w:rPr>
          <w:rFonts w:ascii="Arial" w:hAnsi="Arial" w:cs="Arial"/>
          <w:sz w:val="24"/>
          <w:szCs w:val="24"/>
        </w:rPr>
      </w:pPr>
      <w:r>
        <w:rPr>
          <w:rFonts w:ascii="Arial" w:hAnsi="Arial" w:cs="Arial"/>
          <w:sz w:val="24"/>
          <w:szCs w:val="24"/>
        </w:rPr>
        <w:t>Voor de proef met lijnzaad heeft u heel lijnzaad nodig, dus geen gebroken/gekneusd lijnzaad.</w:t>
      </w:r>
    </w:p>
    <w:p w:rsidR="003D4676" w:rsidRDefault="003D4676" w:rsidP="00CC683C">
      <w:pPr>
        <w:spacing w:after="0" w:line="240" w:lineRule="auto"/>
        <w:rPr>
          <w:rFonts w:ascii="Arial" w:hAnsi="Arial" w:cs="Arial"/>
          <w:sz w:val="24"/>
          <w:szCs w:val="24"/>
        </w:rPr>
      </w:pPr>
    </w:p>
    <w:p w:rsidR="003D4676" w:rsidRDefault="003D4676" w:rsidP="00CC683C">
      <w:pPr>
        <w:spacing w:after="0" w:line="240" w:lineRule="auto"/>
        <w:rPr>
          <w:rFonts w:ascii="Arial" w:hAnsi="Arial" w:cs="Arial"/>
          <w:sz w:val="24"/>
          <w:szCs w:val="24"/>
        </w:rPr>
      </w:pPr>
      <w:r>
        <w:rPr>
          <w:rFonts w:ascii="Arial" w:hAnsi="Arial" w:cs="Arial"/>
          <w:sz w:val="24"/>
          <w:szCs w:val="24"/>
        </w:rPr>
        <w:t>Op internet is veel informatie te vinden over de diverse kruiden. U kunt ook gebruik maken van het naslagwerk:</w:t>
      </w:r>
    </w:p>
    <w:p w:rsidR="003D4676" w:rsidRPr="003D4676" w:rsidRDefault="003D4676" w:rsidP="003D4676">
      <w:pPr>
        <w:spacing w:after="0" w:line="240" w:lineRule="auto"/>
        <w:rPr>
          <w:rFonts w:ascii="Arial" w:hAnsi="Arial" w:cs="Arial"/>
          <w:sz w:val="24"/>
          <w:szCs w:val="24"/>
        </w:rPr>
      </w:pPr>
      <w:r w:rsidRPr="003D4676">
        <w:rPr>
          <w:rFonts w:ascii="Arial" w:hAnsi="Arial" w:cs="Arial"/>
          <w:sz w:val="24"/>
          <w:szCs w:val="24"/>
        </w:rPr>
        <w:t xml:space="preserve">Verhelst, G. (2018): </w:t>
      </w:r>
      <w:r w:rsidRPr="003D4676">
        <w:rPr>
          <w:rFonts w:ascii="Arial" w:hAnsi="Arial" w:cs="Arial"/>
          <w:i/>
          <w:sz w:val="24"/>
          <w:szCs w:val="24"/>
        </w:rPr>
        <w:t>Groot handboek Geneeskrachtige Planten</w:t>
      </w:r>
      <w:r w:rsidRPr="003D4676">
        <w:rPr>
          <w:rFonts w:ascii="Arial" w:hAnsi="Arial" w:cs="Arial"/>
          <w:sz w:val="24"/>
          <w:szCs w:val="24"/>
        </w:rPr>
        <w:t>. BVBA MANNAVITA, Wevelgem, België</w:t>
      </w:r>
      <w:r w:rsidR="00835A4D">
        <w:rPr>
          <w:rFonts w:ascii="Arial" w:hAnsi="Arial" w:cs="Arial"/>
          <w:sz w:val="24"/>
          <w:szCs w:val="24"/>
        </w:rPr>
        <w:t>.</w:t>
      </w:r>
    </w:p>
    <w:p w:rsidR="00250691" w:rsidRDefault="00250691" w:rsidP="00CC683C">
      <w:pPr>
        <w:spacing w:after="0" w:line="240" w:lineRule="auto"/>
        <w:rPr>
          <w:rFonts w:ascii="Arial" w:hAnsi="Arial" w:cs="Arial"/>
          <w:sz w:val="24"/>
          <w:szCs w:val="24"/>
        </w:rPr>
      </w:pPr>
    </w:p>
    <w:p w:rsidR="00250691" w:rsidRPr="00F23083" w:rsidRDefault="00250691" w:rsidP="00CC683C">
      <w:pPr>
        <w:spacing w:after="0" w:line="240" w:lineRule="auto"/>
        <w:rPr>
          <w:rFonts w:ascii="Arial" w:hAnsi="Arial" w:cs="Arial"/>
          <w:b/>
          <w:sz w:val="24"/>
          <w:szCs w:val="24"/>
        </w:rPr>
      </w:pPr>
      <w:r w:rsidRPr="00F23083">
        <w:rPr>
          <w:rFonts w:ascii="Arial" w:hAnsi="Arial" w:cs="Arial"/>
          <w:b/>
          <w:sz w:val="24"/>
          <w:szCs w:val="24"/>
        </w:rPr>
        <w:t>We</w:t>
      </w:r>
      <w:r w:rsidR="00D00193">
        <w:rPr>
          <w:rFonts w:ascii="Arial" w:hAnsi="Arial" w:cs="Arial"/>
          <w:b/>
          <w:sz w:val="24"/>
          <w:szCs w:val="24"/>
        </w:rPr>
        <w:t>tenswaardigheden</w:t>
      </w:r>
      <w:bookmarkStart w:id="0" w:name="_GoBack"/>
      <w:bookmarkEnd w:id="0"/>
    </w:p>
    <w:p w:rsidR="00F0717A" w:rsidRDefault="00F0717A" w:rsidP="00CC683C">
      <w:pPr>
        <w:spacing w:after="0" w:line="240" w:lineRule="auto"/>
        <w:rPr>
          <w:rFonts w:ascii="Arial" w:hAnsi="Arial" w:cs="Arial"/>
          <w:sz w:val="24"/>
          <w:szCs w:val="24"/>
        </w:rPr>
      </w:pPr>
      <w:r>
        <w:rPr>
          <w:rFonts w:ascii="Arial" w:hAnsi="Arial" w:cs="Arial"/>
          <w:sz w:val="24"/>
          <w:szCs w:val="24"/>
        </w:rPr>
        <w:t>Vroeger hadden groenten meer bitterstoffen. De hoeveelheid daarvan is door middel van veredeling verminderd. Goed voor de smaak, maar minder voor de spijsvertering!</w:t>
      </w:r>
    </w:p>
    <w:p w:rsidR="00F23083" w:rsidRDefault="00F23083" w:rsidP="00CC683C">
      <w:pPr>
        <w:spacing w:after="0" w:line="240" w:lineRule="auto"/>
        <w:rPr>
          <w:rFonts w:ascii="Arial" w:hAnsi="Arial" w:cs="Arial"/>
          <w:sz w:val="24"/>
          <w:szCs w:val="24"/>
        </w:rPr>
      </w:pPr>
    </w:p>
    <w:p w:rsidR="00CC683C" w:rsidRPr="00CC683C" w:rsidRDefault="00F23083" w:rsidP="00CC683C">
      <w:pPr>
        <w:spacing w:after="0" w:line="240" w:lineRule="auto"/>
        <w:rPr>
          <w:rFonts w:ascii="Arial" w:hAnsi="Arial" w:cs="Arial"/>
          <w:sz w:val="24"/>
          <w:szCs w:val="24"/>
        </w:rPr>
      </w:pPr>
      <w:r>
        <w:rPr>
          <w:rFonts w:ascii="Arial" w:hAnsi="Arial" w:cs="Arial"/>
          <w:sz w:val="24"/>
          <w:szCs w:val="24"/>
        </w:rPr>
        <w:t xml:space="preserve">De kruidenolie van Sint-Janskruid bevat de stof </w:t>
      </w:r>
      <w:proofErr w:type="spellStart"/>
      <w:r>
        <w:rPr>
          <w:rFonts w:ascii="Arial" w:hAnsi="Arial" w:cs="Arial"/>
          <w:sz w:val="24"/>
          <w:szCs w:val="24"/>
        </w:rPr>
        <w:t>hypericine</w:t>
      </w:r>
      <w:proofErr w:type="spellEnd"/>
      <w:r>
        <w:rPr>
          <w:rFonts w:ascii="Arial" w:hAnsi="Arial" w:cs="Arial"/>
          <w:sz w:val="24"/>
          <w:szCs w:val="24"/>
        </w:rPr>
        <w:t xml:space="preserve"> die de huid lichtgevoelig maakt. Dit houdt in dat, wanneer je in de zon gaat zitten of lopen na je ermee ingesmeerd te hebben, de huid geïrrit</w:t>
      </w:r>
      <w:r w:rsidR="00C03B0B">
        <w:rPr>
          <w:rFonts w:ascii="Arial" w:hAnsi="Arial" w:cs="Arial"/>
          <w:sz w:val="24"/>
          <w:szCs w:val="24"/>
        </w:rPr>
        <w:t xml:space="preserve">eerd kan raken. De olie is wel </w:t>
      </w:r>
      <w:r>
        <w:rPr>
          <w:rFonts w:ascii="Arial" w:hAnsi="Arial" w:cs="Arial"/>
          <w:sz w:val="24"/>
          <w:szCs w:val="24"/>
        </w:rPr>
        <w:t xml:space="preserve">geschikt na een zonnebad, dan werkt de olie juist verzachtend en helend. </w:t>
      </w:r>
      <w:proofErr w:type="spellStart"/>
      <w:r>
        <w:rPr>
          <w:rFonts w:ascii="Arial" w:hAnsi="Arial" w:cs="Arial"/>
          <w:sz w:val="24"/>
          <w:szCs w:val="24"/>
        </w:rPr>
        <w:t>Hypericine</w:t>
      </w:r>
      <w:proofErr w:type="spellEnd"/>
      <w:r>
        <w:rPr>
          <w:rFonts w:ascii="Arial" w:hAnsi="Arial" w:cs="Arial"/>
          <w:sz w:val="24"/>
          <w:szCs w:val="24"/>
        </w:rPr>
        <w:t xml:space="preserve"> is ook de stof die de olie de mooie rode kleur geeft.</w:t>
      </w:r>
    </w:p>
    <w:sectPr w:rsidR="00CC683C" w:rsidRPr="00CC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3C"/>
    <w:rsid w:val="00250691"/>
    <w:rsid w:val="002764BB"/>
    <w:rsid w:val="003A3CC7"/>
    <w:rsid w:val="003D4676"/>
    <w:rsid w:val="004A6F82"/>
    <w:rsid w:val="0054755D"/>
    <w:rsid w:val="006D207F"/>
    <w:rsid w:val="006E3AF0"/>
    <w:rsid w:val="008205DB"/>
    <w:rsid w:val="00835A4D"/>
    <w:rsid w:val="00862FAF"/>
    <w:rsid w:val="008C5FEB"/>
    <w:rsid w:val="009A721D"/>
    <w:rsid w:val="00AE1F9A"/>
    <w:rsid w:val="00C03B0B"/>
    <w:rsid w:val="00CC683C"/>
    <w:rsid w:val="00D00193"/>
    <w:rsid w:val="00E04731"/>
    <w:rsid w:val="00E74099"/>
    <w:rsid w:val="00F0717A"/>
    <w:rsid w:val="00F23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A41E-B573-4446-9867-53F4EBA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683C"/>
    <w:rPr>
      <w:color w:val="0563C1" w:themeColor="hyperlink"/>
      <w:u w:val="single"/>
    </w:rPr>
  </w:style>
  <w:style w:type="table" w:styleId="Tabelraster">
    <w:name w:val="Table Grid"/>
    <w:basedOn w:val="Standaardtabel"/>
    <w:uiPriority w:val="39"/>
    <w:rsid w:val="00AE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ruidenrijk.nl/product-categorie/losse-thee-kruiden-biol/" TargetMode="External"/><Relationship Id="rId5" Type="http://schemas.openxmlformats.org/officeDocument/2006/relationships/hyperlink" Target="https://jacob-hooy.nl/theezakjes.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40DE8B-C7F1-4C10-B974-E4FC0E19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13</cp:revision>
  <dcterms:created xsi:type="dcterms:W3CDTF">2020-05-07T11:52:00Z</dcterms:created>
  <dcterms:modified xsi:type="dcterms:W3CDTF">2020-05-13T17:43:00Z</dcterms:modified>
</cp:coreProperties>
</file>