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140F" w14:textId="626A5989" w:rsidR="00186183" w:rsidRPr="005F43E7" w:rsidRDefault="00186183" w:rsidP="00186183">
      <w:pPr>
        <w:jc w:val="both"/>
        <w:rPr>
          <w:rFonts w:ascii="Verdana" w:hAnsi="Verdana" w:cs="Calibri"/>
          <w:b/>
          <w:bCs/>
          <w:sz w:val="20"/>
          <w:szCs w:val="20"/>
        </w:rPr>
      </w:pPr>
      <w:r>
        <w:rPr>
          <w:rFonts w:ascii="Verdana" w:hAnsi="Verdana" w:cs="Calibri"/>
          <w:b/>
          <w:bCs/>
          <w:sz w:val="20"/>
          <w:szCs w:val="20"/>
        </w:rPr>
        <w:t xml:space="preserve">RX10 </w:t>
      </w:r>
      <w:r>
        <w:rPr>
          <w:rFonts w:ascii="Verdana" w:hAnsi="Verdana" w:cs="Calibri"/>
          <w:b/>
          <w:bCs/>
          <w:sz w:val="20"/>
          <w:szCs w:val="20"/>
        </w:rPr>
        <w:t>Begripsvorming ondersteunen door v</w:t>
      </w:r>
      <w:r w:rsidRPr="005F43E7">
        <w:rPr>
          <w:rFonts w:ascii="Verdana" w:hAnsi="Verdana" w:cs="Calibri"/>
          <w:b/>
          <w:bCs/>
          <w:sz w:val="20"/>
          <w:szCs w:val="20"/>
        </w:rPr>
        <w:t>isualiseren</w:t>
      </w:r>
    </w:p>
    <w:p w14:paraId="1B74C99F" w14:textId="77777777" w:rsidR="00186183" w:rsidRDefault="00186183" w:rsidP="00186183">
      <w:pPr>
        <w:jc w:val="both"/>
        <w:rPr>
          <w:rFonts w:ascii="Verdana" w:hAnsi="Verdana" w:cs="Calibri"/>
          <w:sz w:val="20"/>
          <w:szCs w:val="20"/>
        </w:rPr>
      </w:pPr>
    </w:p>
    <w:p w14:paraId="446A3EF1" w14:textId="24F9BA82" w:rsidR="00186183" w:rsidRPr="00750BD2" w:rsidRDefault="00186183" w:rsidP="00186183">
      <w:pPr>
        <w:jc w:val="both"/>
        <w:rPr>
          <w:rFonts w:ascii="Verdana" w:hAnsi="Verdana" w:cs="Calibri"/>
          <w:sz w:val="20"/>
          <w:szCs w:val="20"/>
        </w:rPr>
      </w:pPr>
      <w:r w:rsidRPr="00750BD2">
        <w:rPr>
          <w:rFonts w:ascii="Verdana" w:hAnsi="Verdana" w:cs="Calibri"/>
          <w:sz w:val="20"/>
          <w:szCs w:val="20"/>
        </w:rPr>
        <w:t xml:space="preserve">Als je wilt weten of de leerlingen een goed beeld hebben van wat er gebeurt op microniveau, kun je leerlingen laten visualiseren en representeren. Het maken van een storyboard is een goede manier om leerlingen te laten visualiseren. Je vraagt ze om te expliciteren wat ze waarnemen, en dat in een tekening en een verhaaltje om te zetten. </w:t>
      </w:r>
    </w:p>
    <w:p w14:paraId="3AFD85EF" w14:textId="77777777" w:rsidR="00186183" w:rsidRDefault="00186183" w:rsidP="00186183">
      <w:pPr>
        <w:pStyle w:val="NoSpacing"/>
        <w:jc w:val="both"/>
        <w:rPr>
          <w:rFonts w:ascii="Verdana" w:hAnsi="Verdana" w:cs="Calibri"/>
          <w:sz w:val="20"/>
          <w:szCs w:val="20"/>
        </w:rPr>
      </w:pPr>
      <w:r w:rsidRPr="00750BD2">
        <w:rPr>
          <w:rFonts w:ascii="Verdana" w:hAnsi="Verdana" w:cs="Calibri"/>
          <w:sz w:val="20"/>
          <w:szCs w:val="20"/>
        </w:rPr>
        <w:t>In het geval van bovenstaande proef met ijzer</w:t>
      </w:r>
      <w:r>
        <w:rPr>
          <w:rFonts w:ascii="Verdana" w:hAnsi="Verdana" w:cs="Calibri"/>
          <w:sz w:val="20"/>
          <w:szCs w:val="20"/>
        </w:rPr>
        <w:t>/staalwol</w:t>
      </w:r>
      <w:r w:rsidRPr="00750BD2">
        <w:rPr>
          <w:rFonts w:ascii="Verdana" w:hAnsi="Verdana" w:cs="Calibri"/>
          <w:sz w:val="20"/>
          <w:szCs w:val="20"/>
        </w:rPr>
        <w:t xml:space="preserve"> en een koper(II)nitraat oplossing laat je de leerlingen de startopstelling van spijker/staalwol in een oplossing van koper(II)nitraat tekenen. Laat ze hierbij waarnemingen (kleuren) verwerken en de deeltjes op microniveau tekenen. Zie voorbeeld figuur A (Begin). Laat vervolgens de leerlingen de eindsituatie tekenen. Zie voorbeeld figuur </w:t>
      </w:r>
      <w:r>
        <w:rPr>
          <w:rFonts w:ascii="Verdana" w:hAnsi="Verdana" w:cs="Calibri"/>
          <w:sz w:val="20"/>
          <w:szCs w:val="20"/>
        </w:rPr>
        <w:t>B</w:t>
      </w:r>
      <w:r w:rsidRPr="00750BD2">
        <w:rPr>
          <w:rFonts w:ascii="Verdana" w:hAnsi="Verdana" w:cs="Calibri"/>
          <w:sz w:val="20"/>
          <w:szCs w:val="20"/>
        </w:rPr>
        <w:t xml:space="preserve"> (Eind). Laat leerlingen in het tekstvakje een toelichting geven op het proces op macro- en microniveau wat er gebeurt tijdens de proef. Je kunt samen met de leerlingen hun beeld nakijken en bijstellen. </w:t>
      </w:r>
    </w:p>
    <w:p w14:paraId="2B07E842" w14:textId="77777777" w:rsidR="00186183" w:rsidRPr="00F02A9E" w:rsidRDefault="00186183" w:rsidP="00186183">
      <w:pPr>
        <w:pStyle w:val="NoSpacing"/>
        <w:jc w:val="both"/>
        <w:rPr>
          <w:rFonts w:ascii="Verdana" w:hAnsi="Verdana" w:cs="Calibri"/>
          <w:b/>
          <w:bCs/>
          <w:sz w:val="20"/>
          <w:szCs w:val="20"/>
        </w:rPr>
      </w:pPr>
      <w:r>
        <w:rPr>
          <w:rFonts w:ascii="Verdana" w:hAnsi="Verdana" w:cs="Calibri"/>
          <w:sz w:val="20"/>
          <w:szCs w:val="20"/>
        </w:rPr>
        <w:t xml:space="preserve">Deze manier wordt in het boek (blz. 27) verder toegelicht bij </w:t>
      </w:r>
      <w:r w:rsidRPr="00D4129B">
        <w:rPr>
          <w:rFonts w:ascii="Verdana" w:hAnsi="Verdana" w:cs="Calibri"/>
          <w:i/>
          <w:iCs/>
          <w:sz w:val="20"/>
          <w:szCs w:val="20"/>
        </w:rPr>
        <w:t>Instructiestrategie voor modelvorming door visualiseren: Vischem</w:t>
      </w:r>
      <w:r>
        <w:rPr>
          <w:rFonts w:ascii="Verdana" w:hAnsi="Verdana" w:cs="Calibri"/>
          <w:sz w:val="20"/>
          <w:szCs w:val="20"/>
        </w:rPr>
        <w:t xml:space="preserve">, </w:t>
      </w:r>
      <w:r w:rsidRPr="00F02A9E">
        <w:rPr>
          <w:rFonts w:ascii="Verdana" w:hAnsi="Verdana" w:cs="Calibri"/>
          <w:sz w:val="20"/>
          <w:szCs w:val="20"/>
        </w:rPr>
        <w:t xml:space="preserve">met een storyboard en animaties. </w:t>
      </w:r>
    </w:p>
    <w:p w14:paraId="6965FBEC" w14:textId="77777777" w:rsidR="00186183" w:rsidRPr="00750BD2" w:rsidRDefault="00186183" w:rsidP="00186183">
      <w:pPr>
        <w:jc w:val="both"/>
        <w:rPr>
          <w:rFonts w:ascii="Verdana" w:hAnsi="Verdana" w:cs="Calibri"/>
          <w:sz w:val="20"/>
          <w:szCs w:val="20"/>
        </w:rPr>
      </w:pPr>
    </w:p>
    <w:p w14:paraId="087E85AC" w14:textId="77777777" w:rsidR="00186183" w:rsidRPr="00750BD2" w:rsidRDefault="00186183" w:rsidP="00186183">
      <w:pPr>
        <w:rPr>
          <w:rFonts w:ascii="Verdana" w:hAnsi="Verdana"/>
          <w:sz w:val="20"/>
          <w:szCs w:val="20"/>
        </w:rPr>
      </w:pPr>
      <w:r>
        <w:rPr>
          <w:rFonts w:ascii="Verdana" w:hAnsi="Verdana" w:cs="Calibri"/>
          <w:noProof/>
          <w:sz w:val="20"/>
          <w:szCs w:val="20"/>
        </w:rPr>
        <mc:AlternateContent>
          <mc:Choice Requires="wps">
            <w:drawing>
              <wp:anchor distT="0" distB="0" distL="114300" distR="114300" simplePos="0" relativeHeight="251660288" behindDoc="0" locked="0" layoutInCell="1" allowOverlap="1" wp14:anchorId="142B97D5" wp14:editId="676C8C36">
                <wp:simplePos x="0" y="0"/>
                <wp:positionH relativeFrom="column">
                  <wp:posOffset>2118995</wp:posOffset>
                </wp:positionH>
                <wp:positionV relativeFrom="paragraph">
                  <wp:posOffset>1022985</wp:posOffset>
                </wp:positionV>
                <wp:extent cx="285750" cy="276225"/>
                <wp:effectExtent l="18415" t="17780" r="19685" b="20320"/>
                <wp:wrapNone/>
                <wp:docPr id="11174541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solidFill>
                        <a:ln w="25400">
                          <a:solidFill>
                            <a:srgbClr val="000000"/>
                          </a:solidFill>
                          <a:miter lim="800000"/>
                          <a:headEnd/>
                          <a:tailEnd/>
                        </a:ln>
                      </wps:spPr>
                      <wps:txbx>
                        <w:txbxContent>
                          <w:p w14:paraId="674375B8" w14:textId="77777777" w:rsidR="00186183" w:rsidRPr="0002788B" w:rsidRDefault="00186183" w:rsidP="00186183">
                            <w:pPr>
                              <w:rPr>
                                <w:lang w:val="en-GB"/>
                              </w:rPr>
                            </w:pPr>
                            <w:r>
                              <w:rPr>
                                <w:lang w:val="en-G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B97D5" id="_x0000_t202" coordsize="21600,21600" o:spt="202" path="m,l,21600r21600,l21600,xe">
                <v:stroke joinstyle="miter"/>
                <v:path gradientshapeok="t" o:connecttype="rect"/>
              </v:shapetype>
              <v:shape id="Text Box 8" o:spid="_x0000_s1026" type="#_x0000_t202" style="position:absolute;margin-left:166.85pt;margin-top:80.55pt;width:2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" strokeweight="2pt">
                <v:textbox>
                  <w:txbxContent>
                    <w:p w14:paraId="674375B8" w14:textId="77777777" w:rsidR="00186183" w:rsidRPr="0002788B" w:rsidRDefault="00186183" w:rsidP="00186183">
                      <w:pPr>
                        <w:rPr>
                          <w:lang w:val="en-GB"/>
                        </w:rPr>
                      </w:pPr>
                      <w:r>
                        <w:rPr>
                          <w:lang w:val="en-GB"/>
                        </w:rPr>
                        <w:t>B</w:t>
                      </w:r>
                    </w:p>
                  </w:txbxContent>
                </v:textbox>
              </v:shape>
            </w:pict>
          </mc:Fallback>
        </mc:AlternateContent>
      </w:r>
      <w:r>
        <w:rPr>
          <w:rFonts w:ascii="Verdana" w:hAnsi="Verdana" w:cs="Calibri"/>
          <w:noProof/>
          <w:sz w:val="20"/>
          <w:szCs w:val="20"/>
        </w:rPr>
        <mc:AlternateContent>
          <mc:Choice Requires="wps">
            <w:drawing>
              <wp:anchor distT="45720" distB="45720" distL="114300" distR="114300" simplePos="0" relativeHeight="251659264" behindDoc="0" locked="0" layoutInCell="1" allowOverlap="1" wp14:anchorId="4A4BD88C" wp14:editId="5ABF4009">
                <wp:simplePos x="0" y="0"/>
                <wp:positionH relativeFrom="column">
                  <wp:posOffset>2100580</wp:posOffset>
                </wp:positionH>
                <wp:positionV relativeFrom="paragraph">
                  <wp:posOffset>28575</wp:posOffset>
                </wp:positionV>
                <wp:extent cx="293370" cy="292100"/>
                <wp:effectExtent l="14605" t="20320" r="15875" b="20955"/>
                <wp:wrapNone/>
                <wp:docPr id="1905067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92100"/>
                        </a:xfrm>
                        <a:prstGeom prst="rect">
                          <a:avLst/>
                        </a:prstGeom>
                        <a:solidFill>
                          <a:srgbClr val="FFFFFF"/>
                        </a:solidFill>
                        <a:ln w="25400">
                          <a:solidFill>
                            <a:srgbClr val="000000"/>
                          </a:solidFill>
                          <a:miter lim="800000"/>
                          <a:headEnd/>
                          <a:tailEnd/>
                        </a:ln>
                      </wps:spPr>
                      <wps:txbx>
                        <w:txbxContent>
                          <w:p w14:paraId="296C13C0" w14:textId="77777777" w:rsidR="00186183" w:rsidRPr="00B56966" w:rsidRDefault="00186183" w:rsidP="00186183">
                            <w:pPr>
                              <w:rPr>
                                <w:lang w:val="en-US"/>
                              </w:rPr>
                            </w:pPr>
                            <w: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4BD88C" id="Text Box 2" o:spid="_x0000_s1027" type="#_x0000_t202" style="position:absolute;margin-left:165.4pt;margin-top:2.25pt;width:23.1pt;height:2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" strokeweight="2pt">
                <v:textbox style="mso-fit-shape-to-text:t">
                  <w:txbxContent>
                    <w:p w14:paraId="296C13C0" w14:textId="77777777" w:rsidR="00186183" w:rsidRPr="00B56966" w:rsidRDefault="00186183" w:rsidP="00186183">
                      <w:pPr>
                        <w:rPr>
                          <w:lang w:val="en-US"/>
                        </w:rPr>
                      </w:pPr>
                      <w:r>
                        <w:t>A</w:t>
                      </w:r>
                    </w:p>
                  </w:txbxContent>
                </v:textbox>
              </v:shape>
            </w:pict>
          </mc:Fallback>
        </mc:AlternateContent>
      </w:r>
      <w:r>
        <w:rPr>
          <w:rFonts w:ascii="Verdana" w:hAnsi="Verdana"/>
          <w:noProof/>
          <w:sz w:val="20"/>
          <w:szCs w:val="20"/>
        </w:rPr>
        <w:drawing>
          <wp:inline distT="0" distB="0" distL="0" distR="0" wp14:anchorId="7608768D" wp14:editId="3DB904E5">
            <wp:extent cx="5029200" cy="2654300"/>
            <wp:effectExtent l="0" t="0" r="0" b="0"/>
            <wp:docPr id="1" name="Afbeelding 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Afbeelding met teks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2654300"/>
                    </a:xfrm>
                    <a:prstGeom prst="rect">
                      <a:avLst/>
                    </a:prstGeom>
                    <a:noFill/>
                    <a:ln>
                      <a:noFill/>
                    </a:ln>
                  </pic:spPr>
                </pic:pic>
              </a:graphicData>
            </a:graphic>
          </wp:inline>
        </w:drawing>
      </w:r>
    </w:p>
    <w:p w14:paraId="78DAD167" w14:textId="77777777" w:rsidR="00186183" w:rsidRPr="00750BD2" w:rsidRDefault="00186183" w:rsidP="00186183">
      <w:pPr>
        <w:pStyle w:val="ListParagraph"/>
        <w:ind w:left="360"/>
        <w:rPr>
          <w:rFonts w:ascii="Verdana" w:hAnsi="Verdana" w:cs="Calibri"/>
          <w:i/>
          <w:iCs/>
          <w:sz w:val="20"/>
          <w:szCs w:val="20"/>
          <w:lang w:val="nl-NL"/>
        </w:rPr>
      </w:pPr>
      <w:r w:rsidRPr="00750BD2">
        <w:rPr>
          <w:rFonts w:ascii="Verdana" w:hAnsi="Verdana"/>
          <w:i/>
          <w:iCs/>
          <w:sz w:val="20"/>
          <w:szCs w:val="20"/>
          <w:lang w:val="nl-NL"/>
        </w:rPr>
        <w:t>Figuur A</w:t>
      </w:r>
      <w:r>
        <w:rPr>
          <w:rFonts w:ascii="Verdana" w:hAnsi="Verdana"/>
          <w:i/>
          <w:iCs/>
          <w:sz w:val="20"/>
          <w:szCs w:val="20"/>
          <w:lang w:val="nl-NL"/>
        </w:rPr>
        <w:t>(begin)/B(eind)</w:t>
      </w:r>
      <w:r w:rsidRPr="00750BD2">
        <w:rPr>
          <w:rFonts w:ascii="Verdana" w:hAnsi="Verdana"/>
          <w:i/>
          <w:iCs/>
          <w:sz w:val="20"/>
          <w:szCs w:val="20"/>
          <w:lang w:val="nl-NL"/>
        </w:rPr>
        <w:t xml:space="preserve">: </w:t>
      </w:r>
      <w:r w:rsidRPr="00750BD2">
        <w:rPr>
          <w:rFonts w:ascii="Verdana" w:hAnsi="Verdana" w:cs="Calibri"/>
          <w:i/>
          <w:iCs/>
          <w:sz w:val="20"/>
          <w:szCs w:val="20"/>
          <w:lang w:val="nl-NL"/>
        </w:rPr>
        <w:t>Toepassing van Storyboard op de reactie tussen ijzer</w:t>
      </w:r>
      <w:r>
        <w:rPr>
          <w:rFonts w:ascii="Verdana" w:hAnsi="Verdana" w:cs="Calibri"/>
          <w:i/>
          <w:iCs/>
          <w:sz w:val="20"/>
          <w:szCs w:val="20"/>
          <w:lang w:val="nl-NL"/>
        </w:rPr>
        <w:t>/staalwol</w:t>
      </w:r>
      <w:r w:rsidRPr="00750BD2">
        <w:rPr>
          <w:rFonts w:ascii="Verdana" w:hAnsi="Verdana" w:cs="Calibri"/>
          <w:i/>
          <w:iCs/>
          <w:sz w:val="20"/>
          <w:szCs w:val="20"/>
          <w:lang w:val="nl-NL"/>
        </w:rPr>
        <w:t xml:space="preserve"> en koper(II)-ionen. Links </w:t>
      </w:r>
      <w:r>
        <w:rPr>
          <w:rFonts w:ascii="Verdana" w:hAnsi="Verdana" w:cs="Calibri"/>
          <w:i/>
          <w:iCs/>
          <w:sz w:val="20"/>
          <w:szCs w:val="20"/>
          <w:lang w:val="nl-NL"/>
        </w:rPr>
        <w:t>een opgepoetste leerling</w:t>
      </w:r>
      <w:r w:rsidRPr="00750BD2">
        <w:rPr>
          <w:rFonts w:ascii="Verdana" w:hAnsi="Verdana" w:cs="Calibri"/>
          <w:i/>
          <w:iCs/>
          <w:sz w:val="20"/>
          <w:szCs w:val="20"/>
          <w:lang w:val="nl-NL"/>
        </w:rPr>
        <w:t xml:space="preserve">tekening </w:t>
      </w:r>
      <w:r>
        <w:rPr>
          <w:rFonts w:ascii="Verdana" w:hAnsi="Verdana" w:cs="Calibri"/>
          <w:i/>
          <w:iCs/>
          <w:sz w:val="20"/>
          <w:szCs w:val="20"/>
          <w:lang w:val="nl-NL"/>
        </w:rPr>
        <w:t>v</w:t>
      </w:r>
      <w:r w:rsidRPr="00750BD2">
        <w:rPr>
          <w:rFonts w:ascii="Verdana" w:hAnsi="Verdana" w:cs="Calibri"/>
          <w:i/>
          <w:iCs/>
          <w:sz w:val="20"/>
          <w:szCs w:val="20"/>
          <w:lang w:val="nl-NL"/>
        </w:rPr>
        <w:t>an de begin-</w:t>
      </w:r>
      <w:r>
        <w:rPr>
          <w:rFonts w:ascii="Verdana" w:hAnsi="Verdana" w:cs="Calibri"/>
          <w:i/>
          <w:iCs/>
          <w:sz w:val="20"/>
          <w:szCs w:val="20"/>
          <w:lang w:val="nl-NL"/>
        </w:rPr>
        <w:t xml:space="preserve"> </w:t>
      </w:r>
      <w:r w:rsidRPr="00750BD2">
        <w:rPr>
          <w:rFonts w:ascii="Verdana" w:hAnsi="Verdana" w:cs="Calibri"/>
          <w:i/>
          <w:iCs/>
          <w:sz w:val="20"/>
          <w:szCs w:val="20"/>
          <w:lang w:val="nl-NL"/>
        </w:rPr>
        <w:t>en eindsituatie, recht</w:t>
      </w:r>
      <w:r>
        <w:rPr>
          <w:rFonts w:ascii="Verdana" w:hAnsi="Verdana" w:cs="Calibri"/>
          <w:i/>
          <w:iCs/>
          <w:sz w:val="20"/>
          <w:szCs w:val="20"/>
          <w:lang w:val="nl-NL"/>
        </w:rPr>
        <w:t>s een gecorrigeerde</w:t>
      </w:r>
      <w:r w:rsidRPr="00750BD2">
        <w:rPr>
          <w:rFonts w:ascii="Verdana" w:hAnsi="Verdana" w:cs="Calibri"/>
          <w:i/>
          <w:iCs/>
          <w:sz w:val="20"/>
          <w:szCs w:val="20"/>
          <w:lang w:val="nl-NL"/>
        </w:rPr>
        <w:t xml:space="preserve"> beschrijving in verhalende vorm. </w:t>
      </w:r>
    </w:p>
    <w:p w14:paraId="7DA045EA" w14:textId="77777777" w:rsidR="00186183" w:rsidRPr="00750BD2" w:rsidRDefault="00186183" w:rsidP="00186183">
      <w:pPr>
        <w:rPr>
          <w:rFonts w:ascii="Verdana" w:hAnsi="Verdana"/>
          <w:sz w:val="20"/>
          <w:szCs w:val="20"/>
        </w:rPr>
      </w:pPr>
    </w:p>
    <w:p w14:paraId="08A7189F" w14:textId="77777777" w:rsidR="00186183" w:rsidRPr="00C34423" w:rsidRDefault="00186183" w:rsidP="00186183">
      <w:pPr>
        <w:pStyle w:val="ListParagraph"/>
        <w:ind w:left="0"/>
        <w:jc w:val="both"/>
        <w:rPr>
          <w:rFonts w:ascii="Verdana" w:hAnsi="Verdana" w:cs="Calibri"/>
          <w:sz w:val="20"/>
          <w:szCs w:val="20"/>
          <w:u w:val="single"/>
          <w:lang w:val="nl-NL"/>
        </w:rPr>
      </w:pPr>
      <w:r w:rsidRPr="00C34423">
        <w:rPr>
          <w:rFonts w:ascii="Verdana" w:hAnsi="Verdana" w:cs="Calibri"/>
          <w:sz w:val="20"/>
          <w:szCs w:val="20"/>
          <w:u w:val="single"/>
          <w:lang w:val="nl-NL"/>
        </w:rPr>
        <w:t xml:space="preserve">Didactische tips: </w:t>
      </w:r>
    </w:p>
    <w:p w14:paraId="0D6853EC" w14:textId="77777777" w:rsidR="00186183" w:rsidRPr="00750BD2" w:rsidRDefault="00186183" w:rsidP="00186183">
      <w:pPr>
        <w:pStyle w:val="ListParagraph"/>
        <w:numPr>
          <w:ilvl w:val="0"/>
          <w:numId w:val="1"/>
        </w:numPr>
        <w:ind w:left="426"/>
        <w:rPr>
          <w:rFonts w:ascii="Verdana" w:hAnsi="Verdana" w:cs="Calibri"/>
          <w:sz w:val="20"/>
          <w:szCs w:val="20"/>
          <w:lang w:val="nl-NL"/>
        </w:rPr>
      </w:pPr>
      <w:r w:rsidRPr="00750BD2">
        <w:rPr>
          <w:rFonts w:ascii="Verdana" w:hAnsi="Verdana" w:cs="Calibri"/>
          <w:sz w:val="20"/>
          <w:szCs w:val="20"/>
          <w:lang w:val="nl-NL"/>
        </w:rPr>
        <w:t xml:space="preserve">Hierbij moet worden uitgegaan van de observaties (blauwe kleur verdwenen, groene kleur ontstaan, rood/bruin metaal ontstaan). </w:t>
      </w:r>
    </w:p>
    <w:p w14:paraId="76683523" w14:textId="77777777" w:rsidR="00186183" w:rsidRPr="00750BD2" w:rsidRDefault="00186183" w:rsidP="00186183">
      <w:pPr>
        <w:pStyle w:val="ListParagraph"/>
        <w:numPr>
          <w:ilvl w:val="0"/>
          <w:numId w:val="1"/>
        </w:numPr>
        <w:ind w:left="426"/>
        <w:rPr>
          <w:rFonts w:ascii="Verdana" w:hAnsi="Verdana" w:cs="Calibri"/>
          <w:sz w:val="20"/>
          <w:szCs w:val="20"/>
          <w:lang w:val="nl-NL"/>
        </w:rPr>
      </w:pPr>
      <w:r w:rsidRPr="00750BD2">
        <w:rPr>
          <w:rFonts w:ascii="Verdana" w:hAnsi="Verdana" w:cs="Calibri"/>
          <w:sz w:val="20"/>
          <w:szCs w:val="20"/>
          <w:lang w:val="nl-NL"/>
        </w:rPr>
        <w:t>Figuur A begin</w:t>
      </w:r>
      <w:r>
        <w:rPr>
          <w:rFonts w:ascii="Verdana" w:hAnsi="Verdana" w:cs="Calibri"/>
          <w:sz w:val="20"/>
          <w:szCs w:val="20"/>
          <w:lang w:val="nl-NL"/>
        </w:rPr>
        <w:t>:</w:t>
      </w:r>
      <w:r w:rsidRPr="00750BD2">
        <w:rPr>
          <w:rFonts w:ascii="Verdana" w:hAnsi="Verdana" w:cs="Calibri"/>
          <w:sz w:val="20"/>
          <w:szCs w:val="20"/>
          <w:lang w:val="nl-NL"/>
        </w:rPr>
        <w:t xml:space="preserve"> Let erop dat de ijzeratomen neutraal getekend zijn. Dat de koper(II)-ionen juist wel een lading van 2+ hebben. </w:t>
      </w:r>
      <w:r>
        <w:rPr>
          <w:rFonts w:ascii="Verdana" w:hAnsi="Verdana" w:cs="Calibri"/>
          <w:sz w:val="20"/>
          <w:szCs w:val="20"/>
          <w:lang w:val="nl-NL"/>
        </w:rPr>
        <w:t xml:space="preserve">Natuurlijk verdwijnen koper(II)-ionen tijdens de proef, dit is niet weergegeven in figuur A. </w:t>
      </w:r>
    </w:p>
    <w:p w14:paraId="16CB6698" w14:textId="77777777" w:rsidR="00186183" w:rsidRPr="0097385E" w:rsidRDefault="00186183" w:rsidP="00186183">
      <w:pPr>
        <w:numPr>
          <w:ilvl w:val="0"/>
          <w:numId w:val="1"/>
        </w:numPr>
        <w:ind w:left="426"/>
        <w:rPr>
          <w:rFonts w:ascii="Verdana" w:hAnsi="Verdana"/>
          <w:sz w:val="20"/>
          <w:szCs w:val="20"/>
        </w:rPr>
      </w:pPr>
      <w:r w:rsidRPr="00750BD2">
        <w:rPr>
          <w:rFonts w:ascii="Verdana" w:hAnsi="Verdana" w:cs="Calibri"/>
          <w:sz w:val="20"/>
          <w:szCs w:val="20"/>
        </w:rPr>
        <w:t xml:space="preserve">Figuur A eind: Let erop dat de koperatomen aan de ijzeratomen neutraal zijn. Dat de kleur van de oplossing verandert en ijzer(II)-ionen ontstaan. </w:t>
      </w:r>
      <w:r>
        <w:rPr>
          <w:rFonts w:ascii="Verdana" w:hAnsi="Verdana" w:cs="Calibri"/>
          <w:sz w:val="20"/>
          <w:szCs w:val="20"/>
        </w:rPr>
        <w:t xml:space="preserve">De koper-atoomlaag rond het ijzer zal in het echt niet zo mooi dun en egaal zijn. Voor de modelvorming is gekozen om de ideale situatie weer te geven. </w:t>
      </w:r>
    </w:p>
    <w:p w14:paraId="2A84C97F" w14:textId="77777777" w:rsidR="00154E25" w:rsidRDefault="00154E25"/>
    <w:sectPr w:rsidR="00154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99E"/>
    <w:multiLevelType w:val="hybridMultilevel"/>
    <w:tmpl w:val="451A739C"/>
    <w:lvl w:ilvl="0" w:tplc="E5CA10DC">
      <w:start w:val="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110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83"/>
    <w:rsid w:val="00154E25"/>
    <w:rsid w:val="00186183"/>
    <w:rsid w:val="00DE7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164D"/>
  <w15:chartTrackingRefBased/>
  <w15:docId w15:val="{25D925A9-975C-4863-B9C5-6F11D82E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183"/>
    <w:pPr>
      <w:spacing w:after="0" w:line="240" w:lineRule="auto"/>
    </w:pPr>
    <w:rPr>
      <w:rFonts w:ascii="Times New Roman" w:eastAsia="Times New Roman" w:hAnsi="Times New Roman" w:cs="Times New Roman"/>
      <w:kern w:val="0"/>
      <w:sz w:val="24"/>
      <w:szCs w:val="24"/>
      <w:lang w:eastAsia="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183"/>
    <w:pPr>
      <w:spacing w:after="0" w:line="240" w:lineRule="auto"/>
    </w:pPr>
    <w:rPr>
      <w:rFonts w:ascii="Calibri" w:eastAsia="Calibri" w:hAnsi="Calibri" w:cs="Times New Roman"/>
      <w:kern w:val="0"/>
      <w14:ligatures w14:val="none"/>
    </w:rPr>
  </w:style>
  <w:style w:type="paragraph" w:styleId="ListParagraph">
    <w:name w:val="List Paragraph"/>
    <w:basedOn w:val="Normal"/>
    <w:uiPriority w:val="34"/>
    <w:qFormat/>
    <w:rsid w:val="00186183"/>
    <w:pPr>
      <w:ind w:left="720"/>
      <w:contextualSpacing/>
    </w:pPr>
    <w:rPr>
      <w:rFonts w:ascii="Calibri" w:eastAsia="Calibri" w:hAnsi="Calibri"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1744</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Kramers</dc:creator>
  <cp:keywords/>
  <dc:description/>
  <cp:lastModifiedBy>Henny Kramers</cp:lastModifiedBy>
  <cp:revision>1</cp:revision>
  <dcterms:created xsi:type="dcterms:W3CDTF">2023-12-10T20:14:00Z</dcterms:created>
  <dcterms:modified xsi:type="dcterms:W3CDTF">2023-12-10T20:15:00Z</dcterms:modified>
</cp:coreProperties>
</file>