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68"/>
        <w:ind w:left="6124" w:right="0" w:firstLine="0"/>
        <w:jc w:val="left"/>
        <w:rPr>
          <w:b/>
          <w:sz w:val="32"/>
        </w:rPr>
      </w:pPr>
      <w:r>
        <w:rPr>
          <w:b/>
          <w:sz w:val="32"/>
        </w:rPr>
        <w:t>Staatsexamen</w:t>
      </w:r>
      <w:r>
        <w:rPr>
          <w:b/>
          <w:spacing w:val="-6"/>
          <w:sz w:val="32"/>
        </w:rPr>
        <w:t> </w:t>
      </w:r>
      <w:r>
        <w:rPr>
          <w:b/>
          <w:sz w:val="32"/>
        </w:rPr>
        <w:t>HAVO</w:t>
      </w:r>
    </w:p>
    <w:p>
      <w:pPr>
        <w:pStyle w:val="Title"/>
      </w:pPr>
      <w:r>
        <w:rPr/>
        <w:t>2022</w:t>
      </w:r>
    </w:p>
    <w:p>
      <w:pPr>
        <w:spacing w:before="49"/>
        <w:ind w:left="0" w:right="152" w:firstLine="0"/>
        <w:jc w:val="right"/>
        <w:rPr>
          <w:sz w:val="22"/>
        </w:rPr>
      </w:pPr>
      <w:r>
        <w:rPr>
          <w:sz w:val="22"/>
        </w:rPr>
        <w:t>tijdvak</w:t>
      </w:r>
      <w:r>
        <w:rPr>
          <w:spacing w:val="-2"/>
          <w:sz w:val="22"/>
        </w:rPr>
        <w:t> </w:t>
      </w:r>
      <w:r>
        <w:rPr>
          <w:sz w:val="22"/>
        </w:rPr>
        <w:t>1</w:t>
      </w:r>
    </w:p>
    <w:p>
      <w:pPr>
        <w:spacing w:before="47"/>
        <w:ind w:left="0" w:right="152" w:firstLine="0"/>
        <w:jc w:val="right"/>
        <w:rPr>
          <w:sz w:val="22"/>
        </w:rPr>
      </w:pPr>
      <w:r>
        <w:rPr>
          <w:sz w:val="22"/>
        </w:rPr>
        <w:t>woensdag 25</w:t>
      </w:r>
      <w:r>
        <w:rPr>
          <w:spacing w:val="-2"/>
          <w:sz w:val="22"/>
        </w:rPr>
        <w:t> </w:t>
      </w:r>
      <w:r>
        <w:rPr>
          <w:sz w:val="22"/>
        </w:rPr>
        <w:t>mei</w:t>
      </w:r>
    </w:p>
    <w:p>
      <w:pPr>
        <w:spacing w:before="47"/>
        <w:ind w:left="0" w:right="153" w:firstLine="0"/>
        <w:jc w:val="right"/>
        <w:rPr>
          <w:sz w:val="22"/>
        </w:rPr>
      </w:pPr>
      <w:r>
        <w:rPr>
          <w:sz w:val="22"/>
        </w:rPr>
        <w:t>09.00 – 11.00</w:t>
      </w:r>
      <w:r>
        <w:rPr>
          <w:spacing w:val="-4"/>
          <w:sz w:val="22"/>
        </w:rPr>
        <w:t> </w:t>
      </w:r>
      <w:r>
        <w:rPr>
          <w:sz w:val="22"/>
        </w:rPr>
        <w:t>uur</w:t>
      </w:r>
    </w:p>
    <w:p>
      <w:pPr>
        <w:pStyle w:val="BodyText"/>
        <w:spacing w:before="11"/>
        <w:ind w:left="0"/>
        <w:rPr>
          <w:sz w:val="25"/>
        </w:rPr>
      </w:pPr>
    </w:p>
    <w:p>
      <w:pPr>
        <w:spacing w:before="0"/>
        <w:ind w:left="5464" w:right="0" w:firstLine="0"/>
        <w:jc w:val="left"/>
        <w:rPr>
          <w:b/>
          <w:sz w:val="28"/>
        </w:rPr>
      </w:pPr>
      <w:r>
        <w:rPr>
          <w:rFonts w:ascii="Times New Roman"/>
          <w:color w:val="FFFFFF"/>
          <w:spacing w:val="-69"/>
          <w:w w:val="100"/>
          <w:sz w:val="28"/>
          <w:shd w:fill="000000" w:color="auto" w:val="clear"/>
        </w:rPr>
        <w:t> </w:t>
      </w:r>
      <w:r>
        <w:rPr>
          <w:b/>
          <w:color w:val="FFFFFF"/>
          <w:sz w:val="28"/>
          <w:shd w:fill="000000" w:color="auto" w:val="clear"/>
        </w:rPr>
        <w:t>Natuur, leven en</w:t>
      </w:r>
      <w:r>
        <w:rPr>
          <w:b/>
          <w:color w:val="FFFFFF"/>
          <w:spacing w:val="-8"/>
          <w:sz w:val="28"/>
          <w:shd w:fill="000000" w:color="auto" w:val="clear"/>
        </w:rPr>
        <w:t> </w:t>
      </w:r>
      <w:r>
        <w:rPr>
          <w:b/>
          <w:color w:val="FFFFFF"/>
          <w:sz w:val="28"/>
          <w:shd w:fill="000000" w:color="auto" w:val="clear"/>
        </w:rPr>
        <w:t>technologie</w:t>
      </w:r>
    </w:p>
    <w:p>
      <w:pPr>
        <w:pStyle w:val="BodyText"/>
        <w:ind w:left="0"/>
        <w:rPr>
          <w:b/>
          <w:sz w:val="20"/>
        </w:rPr>
      </w:pPr>
    </w:p>
    <w:p>
      <w:pPr>
        <w:pStyle w:val="BodyText"/>
        <w:spacing w:before="4"/>
        <w:ind w:left="0"/>
        <w:rPr>
          <w:b/>
          <w:sz w:val="26"/>
        </w:rPr>
      </w:pPr>
    </w:p>
    <w:p>
      <w:pPr>
        <w:pStyle w:val="Heading1"/>
        <w:spacing w:before="92"/>
      </w:pPr>
      <w:r>
        <w:rPr/>
        <w:t>College-examen schriftelijk</w:t>
      </w:r>
    </w:p>
    <w:p>
      <w:pPr>
        <w:pStyle w:val="BodyText"/>
        <w:spacing w:before="2"/>
        <w:ind w:left="0"/>
        <w:rPr>
          <w:b/>
          <w:sz w:val="28"/>
        </w:rPr>
      </w:pPr>
    </w:p>
    <w:p>
      <w:pPr>
        <w:spacing w:before="0"/>
        <w:ind w:left="957" w:right="0" w:firstLine="0"/>
        <w:jc w:val="left"/>
        <w:rPr>
          <w:b/>
          <w:sz w:val="24"/>
        </w:rPr>
      </w:pPr>
      <w:r>
        <w:rPr>
          <w:b/>
          <w:sz w:val="24"/>
        </w:rPr>
        <w:t>Bij dit examen hoort een uitwerkbijlage bij vraag 14 en 15.</w:t>
      </w:r>
    </w:p>
    <w:p>
      <w:pPr>
        <w:pStyle w:val="BodyText"/>
        <w:ind w:left="0"/>
        <w:rPr>
          <w:b/>
          <w:sz w:val="20"/>
        </w:rPr>
      </w:pPr>
    </w:p>
    <w:p>
      <w:pPr>
        <w:pStyle w:val="BodyText"/>
        <w:ind w:left="0"/>
        <w:rPr>
          <w:b/>
          <w:sz w:val="20"/>
        </w:rPr>
      </w:pPr>
    </w:p>
    <w:p>
      <w:pPr>
        <w:pStyle w:val="BodyText"/>
        <w:ind w:left="0"/>
        <w:rPr>
          <w:b/>
          <w:sz w:val="20"/>
        </w:rPr>
      </w:pPr>
    </w:p>
    <w:p>
      <w:pPr>
        <w:spacing w:after="0"/>
        <w:rPr>
          <w:sz w:val="20"/>
        </w:rPr>
        <w:sectPr>
          <w:footerReference w:type="default" r:id="rId5"/>
          <w:type w:val="continuous"/>
          <w:pgSz w:w="11910" w:h="16840"/>
          <w:pgMar w:footer="734" w:top="760" w:bottom="920" w:left="1140" w:right="1320"/>
          <w:pgNumType w:start="1"/>
        </w:sectPr>
      </w:pPr>
    </w:p>
    <w:p>
      <w:pPr>
        <w:pStyle w:val="BodyText"/>
        <w:spacing w:before="4"/>
        <w:ind w:left="0"/>
        <w:rPr>
          <w:b/>
          <w:sz w:val="20"/>
        </w:rPr>
      </w:pPr>
    </w:p>
    <w:p>
      <w:pPr>
        <w:spacing w:line="261" w:lineRule="auto" w:before="0"/>
        <w:ind w:left="1027" w:right="124" w:firstLine="0"/>
        <w:jc w:val="left"/>
        <w:rPr>
          <w:b/>
          <w:sz w:val="24"/>
        </w:rPr>
      </w:pPr>
      <w:r>
        <w:rPr>
          <w:b/>
          <w:sz w:val="24"/>
        </w:rPr>
        <w:t>Voor dit examen zijn maximaal 53 punten te behalen; het examen bestaat uit 22 vragen: 20 open en 2 gesloten vragen.</w:t>
      </w:r>
    </w:p>
    <w:p>
      <w:pPr>
        <w:pStyle w:val="BodyText"/>
        <w:spacing w:before="9"/>
        <w:ind w:left="0"/>
        <w:rPr>
          <w:b/>
          <w:sz w:val="25"/>
        </w:rPr>
      </w:pPr>
    </w:p>
    <w:p>
      <w:pPr>
        <w:spacing w:before="0"/>
        <w:ind w:left="1027" w:right="0" w:firstLine="0"/>
        <w:jc w:val="left"/>
        <w:rPr>
          <w:b/>
          <w:sz w:val="24"/>
        </w:rPr>
      </w:pPr>
      <w:r>
        <w:rPr>
          <w:b/>
          <w:sz w:val="24"/>
        </w:rPr>
        <w:t>Het examen duurt twee uur.</w:t>
      </w:r>
    </w:p>
    <w:p>
      <w:pPr>
        <w:pStyle w:val="BodyText"/>
        <w:spacing w:before="2"/>
        <w:ind w:left="0"/>
        <w:rPr>
          <w:b/>
          <w:sz w:val="28"/>
        </w:rPr>
      </w:pPr>
    </w:p>
    <w:p>
      <w:pPr>
        <w:spacing w:line="261" w:lineRule="auto" w:before="0"/>
        <w:ind w:left="1027" w:right="-8" w:firstLine="0"/>
        <w:jc w:val="left"/>
        <w:rPr>
          <w:b/>
          <w:sz w:val="24"/>
        </w:rPr>
      </w:pPr>
      <w:r>
        <w:rPr>
          <w:b/>
          <w:sz w:val="24"/>
        </w:rPr>
        <w:t>Voor elke vraag is aangegeven hoeveel punten met een goed antwoord behaald kunnen worden.</w:t>
      </w:r>
    </w:p>
    <w:p>
      <w:pPr>
        <w:pStyle w:val="BodyText"/>
        <w:spacing w:before="10"/>
        <w:ind w:left="0"/>
        <w:rPr>
          <w:b/>
          <w:sz w:val="25"/>
        </w:rPr>
      </w:pPr>
    </w:p>
    <w:p>
      <w:pPr>
        <w:spacing w:line="259" w:lineRule="auto" w:before="0"/>
        <w:ind w:left="1027" w:right="0" w:firstLine="0"/>
        <w:jc w:val="left"/>
        <w:rPr>
          <w:b/>
          <w:sz w:val="24"/>
        </w:rPr>
      </w:pPr>
      <w:r>
        <w:rPr>
          <w:b/>
          <w:sz w:val="24"/>
        </w:rPr>
        <w:t>Bij de beantwoording van enkele vragen moet het BINAS tabellenboek 6</w:t>
      </w:r>
      <w:r>
        <w:rPr>
          <w:b/>
          <w:position w:val="8"/>
          <w:sz w:val="16"/>
        </w:rPr>
        <w:t>e </w:t>
      </w:r>
      <w:r>
        <w:rPr>
          <w:b/>
          <w:sz w:val="24"/>
        </w:rPr>
        <w:t>druk geraadpleegd worden.</w:t>
      </w:r>
    </w:p>
    <w:p>
      <w:pPr>
        <w:pStyle w:val="BodyText"/>
        <w:spacing w:before="4"/>
        <w:ind w:left="0"/>
        <w:rPr>
          <w:b/>
          <w:sz w:val="26"/>
        </w:rPr>
      </w:pPr>
    </w:p>
    <w:p>
      <w:pPr>
        <w:spacing w:line="261" w:lineRule="auto" w:before="0"/>
        <w:ind w:left="1027" w:right="378" w:firstLine="0"/>
        <w:jc w:val="left"/>
        <w:rPr>
          <w:b/>
          <w:sz w:val="24"/>
        </w:rPr>
      </w:pPr>
      <w:r>
        <w:rPr>
          <w:b/>
          <w:sz w:val="24"/>
        </w:rPr>
        <w:t>Het gebruik van een (grafische) rekenmachine is toegestaan.</w:t>
      </w:r>
    </w:p>
    <w:p>
      <w:pPr>
        <w:pStyle w:val="BodyText"/>
        <w:spacing w:before="4"/>
        <w:ind w:left="0"/>
        <w:rPr>
          <w:b/>
          <w:sz w:val="20"/>
        </w:rPr>
      </w:pPr>
      <w:r>
        <w:rPr/>
        <w:br w:type="column"/>
      </w:r>
      <w:r>
        <w:rPr>
          <w:b/>
          <w:sz w:val="20"/>
        </w:rPr>
      </w:r>
    </w:p>
    <w:p>
      <w:pPr>
        <w:pStyle w:val="BodyText"/>
        <w:spacing w:line="261" w:lineRule="auto"/>
        <w:ind w:left="592" w:right="355"/>
      </w:pPr>
      <w:r>
        <w:rPr/>
        <w:t>Als bij een open vraag een verklaring, uitleg of berekening wordt gevraagd, worden aan het antwoord meestal geen punten toegekend als deze verklaring, uitleg of berekening ontbreekt.</w:t>
      </w:r>
    </w:p>
    <w:p>
      <w:pPr>
        <w:pStyle w:val="BodyText"/>
        <w:spacing w:before="8"/>
        <w:ind w:left="0"/>
        <w:rPr>
          <w:sz w:val="25"/>
        </w:rPr>
      </w:pPr>
    </w:p>
    <w:p>
      <w:pPr>
        <w:pStyle w:val="BodyText"/>
        <w:spacing w:line="261" w:lineRule="auto"/>
        <w:ind w:left="592" w:right="88"/>
      </w:pPr>
      <w:r>
        <w:rPr/>
        <w:t>Geef niet meer antwoorden (redenen, voorbeelden e.d.) dan er worden gevraagd.</w:t>
      </w:r>
    </w:p>
    <w:p>
      <w:pPr>
        <w:pStyle w:val="BodyText"/>
        <w:spacing w:line="261" w:lineRule="auto"/>
        <w:ind w:left="592" w:right="142"/>
      </w:pPr>
      <w:r>
        <w:rPr/>
        <w:t>Als er bijvoorbeeld twee redenen worden gevraagd en je geeft meer dan twee redenen, dan worden alleen de eerste twee in de beoordeling meegeteld.</w:t>
      </w:r>
    </w:p>
    <w:p>
      <w:pPr>
        <w:pStyle w:val="BodyText"/>
        <w:spacing w:before="6"/>
        <w:ind w:left="0"/>
        <w:rPr>
          <w:sz w:val="25"/>
        </w:rPr>
      </w:pPr>
    </w:p>
    <w:p>
      <w:pPr>
        <w:pStyle w:val="BodyText"/>
        <w:spacing w:line="261" w:lineRule="auto"/>
        <w:ind w:left="592" w:right="556"/>
      </w:pPr>
      <w:r>
        <w:rPr/>
        <w:t>Geef het antwoord van meerkeuzevragen in duidelijke hoofdletters.</w:t>
      </w:r>
    </w:p>
    <w:p>
      <w:pPr>
        <w:spacing w:after="0" w:line="261" w:lineRule="auto"/>
        <w:sectPr>
          <w:type w:val="continuous"/>
          <w:pgSz w:w="11910" w:h="16840"/>
          <w:pgMar w:top="760" w:bottom="920" w:left="1140" w:right="1320"/>
          <w:cols w:num="2" w:equalWidth="0">
            <w:col w:w="5000" w:space="40"/>
            <w:col w:w="4410"/>
          </w:cols>
        </w:sectPr>
      </w:pPr>
    </w:p>
    <w:p>
      <w:pPr>
        <w:pStyle w:val="BodyText"/>
        <w:spacing w:before="7"/>
        <w:ind w:left="0"/>
        <w:rPr>
          <w:sz w:val="17"/>
        </w:rPr>
      </w:pPr>
    </w:p>
    <w:p>
      <w:pPr>
        <w:spacing w:before="92"/>
        <w:ind w:left="1027" w:right="0" w:firstLine="0"/>
        <w:jc w:val="left"/>
        <w:rPr>
          <w:i/>
          <w:sz w:val="24"/>
        </w:rPr>
      </w:pPr>
      <w:r>
        <w:rPr>
          <w:i/>
          <w:sz w:val="24"/>
        </w:rPr>
        <w:t>- Tenzij anders vermeld, is er sprake van normale situaties.</w:t>
      </w:r>
    </w:p>
    <w:p>
      <w:pPr>
        <w:spacing w:after="0"/>
        <w:jc w:val="left"/>
        <w:rPr>
          <w:sz w:val="24"/>
        </w:rPr>
        <w:sectPr>
          <w:type w:val="continuous"/>
          <w:pgSz w:w="11910" w:h="16840"/>
          <w:pgMar w:top="760" w:bottom="920" w:left="1140" w:right="1320"/>
        </w:sectPr>
      </w:pPr>
    </w:p>
    <w:p>
      <w:pPr>
        <w:pStyle w:val="Heading1"/>
        <w:spacing w:before="75"/>
      </w:pPr>
      <w:r>
        <w:rPr/>
        <w:t>Duurzaam stikstofbeleid</w:t>
      </w:r>
    </w:p>
    <w:p>
      <w:pPr>
        <w:pStyle w:val="BodyText"/>
        <w:spacing w:before="2"/>
        <w:ind w:left="0"/>
        <w:rPr>
          <w:b/>
          <w:sz w:val="28"/>
        </w:rPr>
      </w:pPr>
    </w:p>
    <w:p>
      <w:pPr>
        <w:pStyle w:val="BodyText"/>
        <w:spacing w:line="261" w:lineRule="auto"/>
        <w:ind w:right="295"/>
      </w:pPr>
      <w:r>
        <w:rPr/>
        <w:t>De laatst jaren voeren boeren regelmatig verzet tegen het stikstofbeleid van de overheid. Zij krijgen het verwijt dat zij de voornaamste oorzaak zijn van de achteruitgang van de kwaliteit van de Natura 2000-gebieden ten gevolge van </w:t>
      </w:r>
      <w:r>
        <w:rPr>
          <w:position w:val="1"/>
        </w:rPr>
        <w:t>stikstofdepositie. Vooral de emissies van ammoniak (NH</w:t>
      </w:r>
      <w:r>
        <w:rPr>
          <w:sz w:val="16"/>
        </w:rPr>
        <w:t>3</w:t>
      </w:r>
      <w:r>
        <w:rPr>
          <w:position w:val="1"/>
        </w:rPr>
        <w:t>) uit de veehouderij </w:t>
      </w:r>
      <w:r>
        <w:rPr/>
        <w:t>zouden daar debet aan zijn. Nederland heeft 10 jaar geleden deze gebieden aangewezen in overeenstemming met onder meer de Europese Habitatrichtlijn. Ten gevolge van de depositie van stikstof staat in deze gebieden de biodiversiteit erg onder druk. Biodiversiteit is een belangrijke parameter voor</w:t>
      </w:r>
      <w:r>
        <w:rPr>
          <w:spacing w:val="1"/>
        </w:rPr>
        <w:t> </w:t>
      </w:r>
      <w:r>
        <w:rPr/>
        <w:t>duurzaamheid.</w:t>
      </w:r>
    </w:p>
    <w:p>
      <w:pPr>
        <w:pStyle w:val="BodyText"/>
        <w:spacing w:line="261" w:lineRule="auto"/>
        <w:ind w:right="187"/>
      </w:pPr>
      <w:r>
        <w:rPr/>
        <w:t>De boeren geven aan dat ook industrie, verkeer en huishoudens een aanzienlijke bijdrage leveren aan de uitstoot van stikstof. Verder vinden ze dat </w:t>
      </w:r>
      <w:r>
        <w:rPr>
          <w:position w:val="1"/>
        </w:rPr>
        <w:t>zij de NH</w:t>
      </w:r>
      <w:r>
        <w:rPr>
          <w:sz w:val="16"/>
        </w:rPr>
        <w:t>3</w:t>
      </w:r>
      <w:r>
        <w:rPr>
          <w:position w:val="1"/>
        </w:rPr>
        <w:t>-uitstoot al enorm hebben teruggedrongen dankzij mestinjectie </w:t>
      </w:r>
      <w:r>
        <w:rPr/>
        <w:t>(figuur 1) en</w:t>
      </w:r>
      <w:r>
        <w:rPr>
          <w:spacing w:val="-1"/>
        </w:rPr>
        <w:t> </w:t>
      </w:r>
      <w:r>
        <w:rPr/>
        <w:t>stalaanpassingen.</w:t>
      </w:r>
    </w:p>
    <w:p>
      <w:pPr>
        <w:pStyle w:val="BodyText"/>
        <w:spacing w:before="10"/>
        <w:ind w:left="0"/>
        <w:rPr>
          <w:sz w:val="19"/>
        </w:rPr>
      </w:pPr>
      <w:r>
        <w:rPr/>
        <w:drawing>
          <wp:anchor distT="0" distB="0" distL="0" distR="0" allowOverlap="1" layoutInCell="1" locked="0" behindDoc="0" simplePos="0" relativeHeight="0">
            <wp:simplePos x="0" y="0"/>
            <wp:positionH relativeFrom="page">
              <wp:posOffset>1333500</wp:posOffset>
            </wp:positionH>
            <wp:positionV relativeFrom="paragraph">
              <wp:posOffset>170219</wp:posOffset>
            </wp:positionV>
            <wp:extent cx="3894686" cy="2200275"/>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3894686" cy="2200275"/>
                    </a:xfrm>
                    <a:prstGeom prst="rect">
                      <a:avLst/>
                    </a:prstGeom>
                  </pic:spPr>
                </pic:pic>
              </a:graphicData>
            </a:graphic>
          </wp:anchor>
        </w:drawing>
      </w:r>
    </w:p>
    <w:p>
      <w:pPr>
        <w:spacing w:before="0"/>
        <w:ind w:left="957" w:right="0" w:firstLine="0"/>
        <w:jc w:val="left"/>
        <w:rPr>
          <w:i/>
          <w:sz w:val="24"/>
        </w:rPr>
      </w:pPr>
      <w:r>
        <w:rPr>
          <w:i/>
          <w:sz w:val="24"/>
        </w:rPr>
        <w:t>Figuur 1: Mestinjectie op grasland</w:t>
      </w:r>
    </w:p>
    <w:p>
      <w:pPr>
        <w:pStyle w:val="BodyText"/>
        <w:spacing w:before="4"/>
        <w:ind w:left="0"/>
        <w:rPr>
          <w:i/>
          <w:sz w:val="28"/>
        </w:rPr>
      </w:pPr>
    </w:p>
    <w:p>
      <w:pPr>
        <w:pStyle w:val="BodyText"/>
        <w:spacing w:line="261" w:lineRule="auto"/>
        <w:ind w:right="360"/>
      </w:pPr>
      <w:r>
        <w:rPr/>
        <w:t>Inmiddels werkt het overheidsbeleid ook aan regelgeving voor het verkeer. Dat betekent dat automobilisten op snelwegen tegenwoordig niet harder dan maximaal 100 km/u mogen</w:t>
      </w:r>
      <w:r>
        <w:rPr>
          <w:spacing w:val="-6"/>
        </w:rPr>
        <w:t> </w:t>
      </w:r>
      <w:r>
        <w:rPr/>
        <w:t>rijden.</w:t>
      </w:r>
    </w:p>
    <w:p>
      <w:pPr>
        <w:pStyle w:val="BodyText"/>
        <w:tabs>
          <w:tab w:pos="508" w:val="left" w:leader="none"/>
          <w:tab w:pos="957" w:val="left" w:leader="none"/>
        </w:tabs>
        <w:spacing w:line="261" w:lineRule="auto"/>
        <w:ind w:right="308" w:hanging="852"/>
      </w:pPr>
      <w:r>
        <w:rPr>
          <w:sz w:val="16"/>
        </w:rPr>
        <w:t>2p</w:t>
        <w:tab/>
      </w:r>
      <w:r>
        <w:rPr>
          <w:b/>
          <w:sz w:val="20"/>
        </w:rPr>
        <w:t>1</w:t>
        <w:tab/>
      </w:r>
      <w:r>
        <w:rPr/>
        <w:t>Door de uitstoot van welke stof draagt het verkeer bij aan de stikstofdepositie in</w:t>
      </w:r>
      <w:r>
        <w:rPr>
          <w:spacing w:val="-1"/>
        </w:rPr>
        <w:t> </w:t>
      </w:r>
      <w:r>
        <w:rPr/>
        <w:t>natuurgebieden?</w:t>
      </w:r>
    </w:p>
    <w:p>
      <w:pPr>
        <w:pStyle w:val="ListParagraph"/>
        <w:numPr>
          <w:ilvl w:val="0"/>
          <w:numId w:val="1"/>
        </w:numPr>
        <w:tabs>
          <w:tab w:pos="1523" w:val="left" w:leader="none"/>
          <w:tab w:pos="1524" w:val="left" w:leader="none"/>
        </w:tabs>
        <w:spacing w:line="274" w:lineRule="exact" w:before="0" w:after="0"/>
        <w:ind w:left="1524" w:right="0" w:hanging="567"/>
        <w:jc w:val="left"/>
        <w:rPr>
          <w:sz w:val="24"/>
        </w:rPr>
      </w:pPr>
      <w:r>
        <w:rPr>
          <w:sz w:val="24"/>
        </w:rPr>
        <w:t>organisch gebonden</w:t>
      </w:r>
      <w:r>
        <w:rPr>
          <w:spacing w:val="-1"/>
          <w:sz w:val="24"/>
        </w:rPr>
        <w:t> </w:t>
      </w:r>
      <w:r>
        <w:rPr>
          <w:sz w:val="24"/>
        </w:rPr>
        <w:t>stikstof</w:t>
      </w:r>
    </w:p>
    <w:p>
      <w:pPr>
        <w:pStyle w:val="ListParagraph"/>
        <w:numPr>
          <w:ilvl w:val="0"/>
          <w:numId w:val="1"/>
        </w:numPr>
        <w:tabs>
          <w:tab w:pos="1523" w:val="left" w:leader="none"/>
          <w:tab w:pos="1524" w:val="left" w:leader="none"/>
        </w:tabs>
        <w:spacing w:line="240" w:lineRule="auto" w:before="22" w:after="0"/>
        <w:ind w:left="1524" w:right="0" w:hanging="567"/>
        <w:jc w:val="left"/>
        <w:rPr>
          <w:sz w:val="24"/>
        </w:rPr>
      </w:pPr>
      <w:r>
        <w:rPr>
          <w:sz w:val="24"/>
        </w:rPr>
        <w:t>salpeter</w:t>
      </w:r>
    </w:p>
    <w:p>
      <w:pPr>
        <w:pStyle w:val="ListParagraph"/>
        <w:numPr>
          <w:ilvl w:val="0"/>
          <w:numId w:val="1"/>
        </w:numPr>
        <w:tabs>
          <w:tab w:pos="1523" w:val="left" w:leader="none"/>
          <w:tab w:pos="1524" w:val="left" w:leader="none"/>
        </w:tabs>
        <w:spacing w:line="240" w:lineRule="auto" w:before="24" w:after="0"/>
        <w:ind w:left="1524" w:right="0" w:hanging="567"/>
        <w:jc w:val="left"/>
        <w:rPr>
          <w:sz w:val="24"/>
        </w:rPr>
      </w:pPr>
      <w:r>
        <w:rPr>
          <w:sz w:val="24"/>
        </w:rPr>
        <w:t>stikstofgas</w:t>
      </w:r>
    </w:p>
    <w:p>
      <w:pPr>
        <w:pStyle w:val="ListParagraph"/>
        <w:numPr>
          <w:ilvl w:val="0"/>
          <w:numId w:val="1"/>
        </w:numPr>
        <w:tabs>
          <w:tab w:pos="1523" w:val="left" w:leader="none"/>
          <w:tab w:pos="1524" w:val="left" w:leader="none"/>
        </w:tabs>
        <w:spacing w:line="240" w:lineRule="auto" w:before="24" w:after="0"/>
        <w:ind w:left="1524" w:right="0" w:hanging="567"/>
        <w:jc w:val="left"/>
        <w:rPr>
          <w:sz w:val="24"/>
        </w:rPr>
      </w:pPr>
      <w:r>
        <w:rPr>
          <w:sz w:val="24"/>
        </w:rPr>
        <w:t>stikstofoxiden</w:t>
      </w:r>
    </w:p>
    <w:p>
      <w:pPr>
        <w:pStyle w:val="BodyText"/>
        <w:spacing w:before="2"/>
        <w:ind w:left="0"/>
        <w:rPr>
          <w:sz w:val="28"/>
        </w:rPr>
      </w:pPr>
    </w:p>
    <w:p>
      <w:pPr>
        <w:pStyle w:val="BodyText"/>
        <w:spacing w:line="261" w:lineRule="auto"/>
        <w:ind w:right="188"/>
      </w:pPr>
      <w:r>
        <w:rPr/>
        <w:t>De overheid luistert bij het opstellen van het beleid ook naar stikstofdeskundigen. Een van hen is hoogleraar in de biologische landbouw Jan Willem Erisman. Hij meent dat de hoeveelheid ammoniak in de afgelopen dertig jaar weliswaar flink is teruggedrongen, maar nog steeds bijna twee keer te hoog is voor de natuur. “Er komt jaarlijks gemiddeld 1.600 mol stikstof per hectare in de grond terecht, wat 500 mol meer is dan de natuur kan verdragen.” (NRC, 22 november 2019).</w:t>
      </w:r>
    </w:p>
    <w:p>
      <w:pPr>
        <w:spacing w:after="0" w:line="261" w:lineRule="auto"/>
        <w:sectPr>
          <w:pgSz w:w="11910" w:h="16840"/>
          <w:pgMar w:header="0" w:footer="734" w:top="780" w:bottom="920" w:left="1140" w:right="1320"/>
        </w:sectPr>
      </w:pPr>
    </w:p>
    <w:p>
      <w:pPr>
        <w:pStyle w:val="BodyText"/>
        <w:spacing w:line="259" w:lineRule="auto" w:before="75"/>
        <w:ind w:right="174"/>
      </w:pPr>
      <w:r>
        <w:rPr/>
        <w:t>Een gebied dat veel te lijden heeft van stikstofdepositie is de Groote Peel, een groot natuurgebied van 13,5 km</w:t>
      </w:r>
      <w:r>
        <w:rPr>
          <w:position w:val="8"/>
          <w:sz w:val="16"/>
        </w:rPr>
        <w:t>2 </w:t>
      </w:r>
      <w:r>
        <w:rPr/>
        <w:t>op de grens van Noord-Brabant en Limburg. Het wordt omzoomd door veel intensieve veehouderijbedrijven.</w:t>
      </w:r>
    </w:p>
    <w:p>
      <w:pPr>
        <w:pStyle w:val="BodyText"/>
        <w:spacing w:line="261" w:lineRule="auto" w:before="1"/>
        <w:ind w:right="760" w:hanging="852"/>
        <w:jc w:val="both"/>
      </w:pPr>
      <w:r>
        <w:rPr>
          <w:sz w:val="16"/>
        </w:rPr>
        <w:t>3p </w:t>
      </w:r>
      <w:r>
        <w:rPr>
          <w:b/>
          <w:sz w:val="20"/>
        </w:rPr>
        <w:t>2 </w:t>
      </w:r>
      <w:r>
        <w:rPr/>
        <w:t>Bereken een aanvaardbare hoeveelheid stikstofdepositie voor de gehele Groote Peel vanuit het oogpunt van duurzaamheid. Geef het antwoord in tonnen afgerond op één decimaal achter de komma.</w:t>
      </w:r>
    </w:p>
    <w:p>
      <w:pPr>
        <w:pStyle w:val="BodyText"/>
        <w:spacing w:before="10"/>
        <w:ind w:left="0"/>
        <w:rPr>
          <w:sz w:val="25"/>
        </w:rPr>
      </w:pPr>
    </w:p>
    <w:p>
      <w:pPr>
        <w:pStyle w:val="BodyText"/>
        <w:spacing w:line="252" w:lineRule="auto"/>
        <w:ind w:right="597"/>
      </w:pPr>
      <w:r>
        <w:rPr/>
        <w:pict>
          <v:shape style="position:absolute;margin-left:277.079987pt;margin-top:51.857212pt;width:4.5pt;height:9pt;mso-position-horizontal-relative:page;mso-position-vertical-relative:paragraph;z-index:-16550912" type="#_x0000_t202" filled="false" stroked="false">
            <v:textbox inset="0,0,0,0">
              <w:txbxContent>
                <w:p>
                  <w:pPr>
                    <w:spacing w:line="179" w:lineRule="exact" w:before="0"/>
                    <w:ind w:left="0" w:right="0" w:firstLine="0"/>
                    <w:jc w:val="left"/>
                    <w:rPr>
                      <w:sz w:val="16"/>
                    </w:rPr>
                  </w:pPr>
                  <w:r>
                    <w:rPr>
                      <w:w w:val="100"/>
                      <w:sz w:val="16"/>
                    </w:rPr>
                    <w:t>3</w:t>
                  </w:r>
                </w:p>
              </w:txbxContent>
            </v:textbox>
            <w10:wrap type="none"/>
          </v:shape>
        </w:pict>
      </w:r>
      <w:r>
        <w:rPr/>
        <w:t>Petra is biologisch rundveehouder in de Achterhoek. Zij gebruikt ook </w:t>
      </w:r>
      <w:r>
        <w:rPr>
          <w:position w:val="1"/>
        </w:rPr>
        <w:t>mestinjectie, waardoor de organisch gebonden stikstof (N</w:t>
      </w:r>
      <w:r>
        <w:rPr>
          <w:sz w:val="16"/>
        </w:rPr>
        <w:t>org</w:t>
      </w:r>
      <w:r>
        <w:rPr>
          <w:position w:val="1"/>
        </w:rPr>
        <w:t>) meteen in de bodem terechtkomt. Daar zetten bodemmicro-organismen N</w:t>
      </w:r>
      <w:r>
        <w:rPr>
          <w:sz w:val="16"/>
        </w:rPr>
        <w:t>org </w:t>
      </w:r>
      <w:r>
        <w:rPr>
          <w:position w:val="1"/>
        </w:rPr>
        <w:t>om in voor </w:t>
      </w:r>
      <w:r>
        <w:rPr/>
        <w:t>planten opneembaar nitraat (NO </w:t>
      </w:r>
      <w:r>
        <w:rPr>
          <w:position w:val="11"/>
          <w:sz w:val="21"/>
        </w:rPr>
        <w:t>-</w:t>
      </w:r>
      <w:r>
        <w:rPr/>
        <w:t>). Biologische veeboeren mogen geen</w:t>
      </w:r>
    </w:p>
    <w:p>
      <w:pPr>
        <w:pStyle w:val="BodyText"/>
        <w:spacing w:line="261" w:lineRule="auto" w:before="27"/>
        <w:ind w:right="402"/>
      </w:pPr>
      <w:r>
        <w:rPr/>
        <w:t>kunstmest gebruiken. Daarom gebruikt Petra naast de dierlijke mest van het eigen bedrijf een alternatief voor stikstofkunstmest om toch voldoende grasproductie voor haar melkvee te realiseren.</w:t>
      </w:r>
    </w:p>
    <w:p>
      <w:pPr>
        <w:pStyle w:val="BodyText"/>
        <w:tabs>
          <w:tab w:pos="508" w:val="left" w:leader="none"/>
          <w:tab w:pos="957" w:val="left" w:leader="none"/>
          <w:tab w:pos="1385" w:val="left" w:leader="none"/>
        </w:tabs>
        <w:spacing w:line="274" w:lineRule="exact"/>
        <w:ind w:left="105"/>
      </w:pPr>
      <w:r>
        <w:rPr>
          <w:sz w:val="16"/>
        </w:rPr>
        <w:t>2p</w:t>
        <w:tab/>
      </w:r>
      <w:r>
        <w:rPr>
          <w:b/>
          <w:sz w:val="20"/>
        </w:rPr>
        <w:t>3</w:t>
        <w:tab/>
      </w:r>
      <w:r>
        <w:rPr/>
        <w:t>-</w:t>
        <w:tab/>
        <w:t>Noem twee organische stoffen in voedergewassen die stikstof</w:t>
      </w:r>
      <w:r>
        <w:rPr>
          <w:spacing w:val="-3"/>
        </w:rPr>
        <w:t> </w:t>
      </w:r>
      <w:r>
        <w:rPr/>
        <w:t>bevatten.</w:t>
      </w:r>
    </w:p>
    <w:p>
      <w:pPr>
        <w:pStyle w:val="BodyText"/>
        <w:tabs>
          <w:tab w:pos="1384" w:val="left" w:leader="none"/>
        </w:tabs>
        <w:spacing w:line="261" w:lineRule="auto" w:before="24"/>
        <w:ind w:left="1384" w:right="1441" w:hanging="420"/>
        <w:rPr>
          <w:sz w:val="22"/>
        </w:rPr>
      </w:pPr>
      <w:r>
        <w:rPr>
          <w:sz w:val="22"/>
        </w:rPr>
        <w:t>-</w:t>
        <w:tab/>
      </w:r>
      <w:r>
        <w:rPr/>
        <w:t>Noem een effectieve maatregel die Petra kan nemen om geen stikstofkunstmest te hoeven</w:t>
      </w:r>
      <w:r>
        <w:rPr>
          <w:spacing w:val="3"/>
        </w:rPr>
        <w:t> </w:t>
      </w:r>
      <w:r>
        <w:rPr/>
        <w:t>gebruiken</w:t>
      </w:r>
      <w:r>
        <w:rPr>
          <w:sz w:val="22"/>
        </w:rPr>
        <w:t>.</w:t>
      </w:r>
    </w:p>
    <w:p>
      <w:pPr>
        <w:pStyle w:val="BodyText"/>
        <w:spacing w:before="10"/>
        <w:ind w:left="0"/>
        <w:rPr>
          <w:sz w:val="25"/>
        </w:rPr>
      </w:pPr>
    </w:p>
    <w:p>
      <w:pPr>
        <w:pStyle w:val="BodyText"/>
        <w:spacing w:line="259" w:lineRule="auto"/>
        <w:ind w:right="201"/>
      </w:pPr>
      <w:r>
        <w:rPr/>
        <w:t>Natura 2000-gebieden nabij landbouwgebieden met veel intensieve veehouderij hebben veel last van eutrofiëring veroorzaakt door de uitstoot van </w:t>
      </w:r>
      <w:r>
        <w:rPr>
          <w:position w:val="1"/>
        </w:rPr>
        <w:t>ammoniak (NH</w:t>
      </w:r>
      <w:r>
        <w:rPr>
          <w:sz w:val="16"/>
        </w:rPr>
        <w:t>3</w:t>
      </w:r>
      <w:r>
        <w:rPr>
          <w:position w:val="1"/>
        </w:rPr>
        <w:t>). De depositie van deze stikstof is in de vorm van NH</w:t>
      </w:r>
      <w:r>
        <w:rPr>
          <w:sz w:val="16"/>
        </w:rPr>
        <w:t>4</w:t>
      </w:r>
      <w:r>
        <w:rPr>
          <w:position w:val="9"/>
          <w:sz w:val="16"/>
        </w:rPr>
        <w:t>+</w:t>
      </w:r>
      <w:r>
        <w:rPr>
          <w:position w:val="1"/>
        </w:rPr>
        <w:t>. Op </w:t>
      </w:r>
      <w:r>
        <w:rPr/>
        <w:t>die wijze draagt ammoniak, ondanks dat het een base is, bij aan de verzuring van de bodem.</w:t>
      </w:r>
    </w:p>
    <w:p>
      <w:pPr>
        <w:pStyle w:val="BodyText"/>
        <w:tabs>
          <w:tab w:pos="508" w:val="left" w:leader="none"/>
          <w:tab w:pos="957" w:val="left" w:leader="none"/>
        </w:tabs>
        <w:spacing w:line="261" w:lineRule="auto" w:before="5"/>
        <w:ind w:right="1083" w:hanging="852"/>
      </w:pPr>
      <w:r>
        <w:rPr>
          <w:sz w:val="16"/>
        </w:rPr>
        <w:t>3p</w:t>
        <w:tab/>
      </w:r>
      <w:r>
        <w:rPr>
          <w:b/>
          <w:sz w:val="20"/>
        </w:rPr>
        <w:t>4</w:t>
        <w:tab/>
      </w:r>
      <w:r>
        <w:rPr/>
        <w:t>Leg met behulp van Binas 93G het biochemische proces uit waardoor ammoniak bodemverzuring</w:t>
      </w:r>
      <w:r>
        <w:rPr>
          <w:spacing w:val="-1"/>
        </w:rPr>
        <w:t> </w:t>
      </w:r>
      <w:r>
        <w:rPr/>
        <w:t>veroorzaakt.</w:t>
      </w:r>
    </w:p>
    <w:p>
      <w:pPr>
        <w:pStyle w:val="BodyText"/>
        <w:ind w:left="0"/>
        <w:rPr>
          <w:sz w:val="26"/>
        </w:rPr>
      </w:pPr>
    </w:p>
    <w:p>
      <w:pPr>
        <w:pStyle w:val="BodyText"/>
        <w:ind w:left="0"/>
        <w:rPr>
          <w:sz w:val="26"/>
        </w:rPr>
      </w:pPr>
    </w:p>
    <w:p>
      <w:pPr>
        <w:pStyle w:val="Heading1"/>
        <w:spacing w:before="1"/>
      </w:pPr>
      <w:r>
        <w:rPr/>
        <w:t>Brokken in de ruimte</w:t>
      </w:r>
    </w:p>
    <w:p>
      <w:pPr>
        <w:pStyle w:val="BodyText"/>
        <w:spacing w:before="2"/>
        <w:ind w:left="0"/>
        <w:rPr>
          <w:b/>
          <w:sz w:val="28"/>
        </w:rPr>
      </w:pPr>
    </w:p>
    <w:p>
      <w:pPr>
        <w:pStyle w:val="BodyText"/>
        <w:spacing w:line="261" w:lineRule="auto"/>
        <w:ind w:right="241"/>
      </w:pPr>
      <w:r>
        <w:rPr/>
        <w:t>Op 10 februari 2009 botsten op 800 km hoogte twee satellieten haaks op elkaar: de Iridium-33 van 689 kg en een inactieve Kosmos-2251 van 900 kg. Er ontstonden, behalve zeer veel splinters, meer dan 2000 brokjes van minstens 10 cm, die min of meer in de oorspronkelijke satellietbanen bleven bewegen. Op 3 september 2010 werden er nog 528 grotere brokjes van de Iridium en 1347 brokjes van de Kosmos waargenomen. Er draaien nu wolkjes puin in 100 minuten rond de Aarde op hoogten tussen 300 en 800 km.</w:t>
      </w:r>
    </w:p>
    <w:p>
      <w:pPr>
        <w:pStyle w:val="BodyText"/>
        <w:spacing w:line="270" w:lineRule="exact"/>
      </w:pPr>
      <w:r>
        <w:rPr/>
        <w:t>Verwacht wordt dat deze brokstukken nog zeer lang “in orbit” zullen blijven.</w:t>
      </w:r>
    </w:p>
    <w:p>
      <w:pPr>
        <w:pStyle w:val="BodyText"/>
        <w:tabs>
          <w:tab w:pos="508" w:val="left" w:leader="none"/>
          <w:tab w:pos="957" w:val="left" w:leader="none"/>
        </w:tabs>
        <w:spacing w:before="24"/>
        <w:ind w:left="105"/>
      </w:pPr>
      <w:r>
        <w:rPr>
          <w:sz w:val="16"/>
        </w:rPr>
        <w:t>3p</w:t>
        <w:tab/>
      </w:r>
      <w:r>
        <w:rPr>
          <w:b/>
          <w:sz w:val="20"/>
        </w:rPr>
        <w:t>5</w:t>
        <w:tab/>
      </w:r>
      <w:r>
        <w:rPr/>
        <w:t>Bereken de relatieve snelheid van de beide satellieten op moment van</w:t>
      </w:r>
      <w:r>
        <w:rPr>
          <w:spacing w:val="-11"/>
        </w:rPr>
        <w:t> </w:t>
      </w:r>
      <w:r>
        <w:rPr/>
        <w:t>botsen.</w:t>
      </w:r>
    </w:p>
    <w:p>
      <w:pPr>
        <w:pStyle w:val="BodyText"/>
        <w:spacing w:before="24"/>
      </w:pPr>
      <w:r>
        <w:rPr/>
        <w:t>Houd rekening met hun bewegingsrichting.</w:t>
      </w:r>
    </w:p>
    <w:p>
      <w:pPr>
        <w:spacing w:after="0"/>
        <w:sectPr>
          <w:pgSz w:w="11910" w:h="16840"/>
          <w:pgMar w:header="0" w:footer="734" w:top="780" w:bottom="920" w:left="1140" w:right="1320"/>
        </w:sectPr>
      </w:pPr>
    </w:p>
    <w:p>
      <w:pPr>
        <w:pStyle w:val="BodyText"/>
        <w:spacing w:line="259" w:lineRule="auto" w:before="75"/>
        <w:ind w:right="348"/>
      </w:pPr>
      <w:r>
        <w:rPr/>
        <w:t>Mede als gevolg van dit ruimtepuin is het niet altijd meer veilig in de ruimte. Op 22 september 2020 was het weer bijna raak. Voor de 26</w:t>
      </w:r>
      <w:r>
        <w:rPr>
          <w:position w:val="8"/>
          <w:sz w:val="16"/>
        </w:rPr>
        <w:t>ste </w:t>
      </w:r>
      <w:r>
        <w:rPr/>
        <w:t>keer in zijn bestaan en de derde keer in 2020 moest het ruimtestation ISS uitwijken voor een groot stuk ruimtepuin. De bemanning van het ISS zocht bescherming in de Russische noodcapsule en de stuurmotoren gingen 150 seconden aan.</w:t>
      </w:r>
    </w:p>
    <w:p>
      <w:pPr>
        <w:pStyle w:val="BodyText"/>
        <w:spacing w:line="261" w:lineRule="auto" w:before="5"/>
        <w:ind w:right="722"/>
      </w:pPr>
      <w:r>
        <w:rPr/>
        <w:t>Uiteindelijk passeerde het puin op slechts 1,39 km van het ISS. Volgens astronoom Jonathan McDowell (figuur 2) was het puin afkomstig van een Japanse raket; welke in 2019 in 77 brokken uiteenviel.</w:t>
      </w:r>
    </w:p>
    <w:p>
      <w:pPr>
        <w:pStyle w:val="BodyText"/>
        <w:spacing w:before="6"/>
        <w:ind w:left="0"/>
        <w:rPr>
          <w:sz w:val="20"/>
        </w:rPr>
      </w:pPr>
      <w:r>
        <w:rPr/>
        <w:drawing>
          <wp:anchor distT="0" distB="0" distL="0" distR="0" allowOverlap="1" layoutInCell="1" locked="0" behindDoc="0" simplePos="0" relativeHeight="2">
            <wp:simplePos x="0" y="0"/>
            <wp:positionH relativeFrom="page">
              <wp:posOffset>1333500</wp:posOffset>
            </wp:positionH>
            <wp:positionV relativeFrom="paragraph">
              <wp:posOffset>175210</wp:posOffset>
            </wp:positionV>
            <wp:extent cx="3904345" cy="1536192"/>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3904345" cy="1536192"/>
                    </a:xfrm>
                    <a:prstGeom prst="rect">
                      <a:avLst/>
                    </a:prstGeom>
                  </pic:spPr>
                </pic:pic>
              </a:graphicData>
            </a:graphic>
          </wp:anchor>
        </w:drawing>
      </w:r>
    </w:p>
    <w:p>
      <w:pPr>
        <w:spacing w:before="38"/>
        <w:ind w:left="957" w:right="0" w:firstLine="0"/>
        <w:jc w:val="left"/>
        <w:rPr>
          <w:i/>
          <w:sz w:val="24"/>
        </w:rPr>
      </w:pPr>
      <w:r>
        <w:rPr>
          <w:i/>
          <w:sz w:val="24"/>
        </w:rPr>
        <w:t>Figuur 2: Tweet over ruimtepuin</w:t>
      </w:r>
    </w:p>
    <w:p>
      <w:pPr>
        <w:pStyle w:val="BodyText"/>
        <w:spacing w:before="5"/>
        <w:ind w:left="0"/>
        <w:rPr>
          <w:i/>
          <w:sz w:val="28"/>
        </w:rPr>
      </w:pPr>
    </w:p>
    <w:p>
      <w:pPr>
        <w:pStyle w:val="BodyText"/>
      </w:pPr>
      <w:r>
        <w:rPr/>
        <w:t>Gebruik figuur 2.</w:t>
      </w:r>
    </w:p>
    <w:p>
      <w:pPr>
        <w:pStyle w:val="BodyText"/>
        <w:spacing w:line="261" w:lineRule="auto" w:before="24"/>
        <w:ind w:right="349"/>
      </w:pPr>
      <w:r>
        <w:rPr/>
        <w:t>Een botsing met een groot stuk ruimtepuin kan catastrofaal zijn. Een dergelijke botsing is te vergelijken met de explosieve kracht van TNT waarbij 4,6 MJ per kilogram TNT vrijkomt.</w:t>
      </w:r>
    </w:p>
    <w:p>
      <w:pPr>
        <w:pStyle w:val="BodyText"/>
        <w:tabs>
          <w:tab w:pos="508" w:val="left" w:leader="none"/>
          <w:tab w:pos="957" w:val="left" w:leader="none"/>
        </w:tabs>
        <w:spacing w:line="250" w:lineRule="exact"/>
        <w:ind w:left="105"/>
      </w:pPr>
      <w:r>
        <w:rPr>
          <w:sz w:val="16"/>
        </w:rPr>
        <w:t>2p</w:t>
        <w:tab/>
      </w:r>
      <w:r>
        <w:rPr>
          <w:b/>
          <w:sz w:val="20"/>
        </w:rPr>
        <w:t>6</w:t>
        <w:tab/>
      </w:r>
      <w:r>
        <w:rPr/>
        <w:t>Bereken de inslagenergie in het ISS per kilogram van het brokstuk en</w:t>
      </w:r>
      <w:r>
        <w:rPr>
          <w:spacing w:val="-6"/>
        </w:rPr>
        <w:t> </w:t>
      </w:r>
      <w:r>
        <w:rPr/>
        <w:t>bereken</w:t>
      </w:r>
    </w:p>
    <w:p>
      <w:pPr>
        <w:pStyle w:val="BodyText"/>
        <w:spacing w:before="48"/>
      </w:pPr>
      <w:r>
        <w:rPr/>
        <w:t>daarmee het aantal kilogram TNT met een even grote explosieve energie.</w:t>
      </w:r>
    </w:p>
    <w:p>
      <w:pPr>
        <w:pStyle w:val="BodyText"/>
        <w:spacing w:before="2"/>
        <w:ind w:left="0"/>
        <w:rPr>
          <w:sz w:val="28"/>
        </w:rPr>
      </w:pPr>
    </w:p>
    <w:p>
      <w:pPr>
        <w:pStyle w:val="BodyText"/>
        <w:spacing w:line="261" w:lineRule="auto"/>
        <w:ind w:right="173"/>
      </w:pPr>
      <w:r>
        <w:rPr/>
        <w:t>Het ISS beweegt op een hoogte waar zich erg veel ruimtepuin bevindt. Dat zijn bijvoorbeeld in onbruik geraakte satellieten of raketdelen. Allemaal verliezen ze af en toe materiaal door erosie en botsingen. De banen van grote stukken worden nauwkeurig bijgehouden, maar het bijhouden kan niet voor de vele kleinere objecten. De meeste daarvan bewegen in “lage” banen tussen 300 en 800 km hoogte.</w:t>
      </w:r>
    </w:p>
    <w:tbl>
      <w:tblPr>
        <w:tblW w:w="0" w:type="auto"/>
        <w:jc w:val="left"/>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73"/>
        <w:gridCol w:w="4851"/>
      </w:tblGrid>
      <w:tr>
        <w:trPr>
          <w:trHeight w:val="299" w:hRule="atLeast"/>
        </w:trPr>
        <w:tc>
          <w:tcPr>
            <w:tcW w:w="8324" w:type="dxa"/>
            <w:gridSpan w:val="2"/>
          </w:tcPr>
          <w:p>
            <w:pPr>
              <w:pStyle w:val="TableParagraph"/>
              <w:spacing w:line="271" w:lineRule="exact"/>
              <w:ind w:left="107"/>
              <w:rPr>
                <w:rFonts w:ascii="Arial"/>
                <w:sz w:val="24"/>
              </w:rPr>
            </w:pPr>
            <w:r>
              <w:rPr>
                <w:rFonts w:ascii="Arial"/>
                <w:sz w:val="24"/>
              </w:rPr>
              <w:t>Materiaal dat door mensen in de ruimte is gebracht (bron: ESA)</w:t>
            </w:r>
          </w:p>
        </w:tc>
      </w:tr>
      <w:tr>
        <w:trPr>
          <w:trHeight w:val="299" w:hRule="atLeast"/>
        </w:trPr>
        <w:tc>
          <w:tcPr>
            <w:tcW w:w="3473" w:type="dxa"/>
          </w:tcPr>
          <w:p>
            <w:pPr>
              <w:pStyle w:val="TableParagraph"/>
              <w:spacing w:line="271" w:lineRule="exact"/>
              <w:ind w:left="107"/>
              <w:rPr>
                <w:rFonts w:ascii="Arial"/>
                <w:sz w:val="24"/>
              </w:rPr>
            </w:pPr>
            <w:r>
              <w:rPr>
                <w:rFonts w:ascii="Arial"/>
                <w:sz w:val="24"/>
              </w:rPr>
              <w:t>Satellieten</w:t>
            </w:r>
          </w:p>
        </w:tc>
        <w:tc>
          <w:tcPr>
            <w:tcW w:w="4851" w:type="dxa"/>
          </w:tcPr>
          <w:p>
            <w:pPr>
              <w:pStyle w:val="TableParagraph"/>
              <w:spacing w:line="271" w:lineRule="exact"/>
              <w:ind w:left="840"/>
              <w:rPr>
                <w:rFonts w:ascii="Arial"/>
                <w:sz w:val="24"/>
              </w:rPr>
            </w:pPr>
            <w:r>
              <w:rPr>
                <w:rFonts w:ascii="Arial"/>
                <w:sz w:val="24"/>
              </w:rPr>
              <w:t>5 000, waarvan 2000 werkend</w:t>
            </w:r>
          </w:p>
        </w:tc>
      </w:tr>
      <w:tr>
        <w:trPr>
          <w:trHeight w:val="299" w:hRule="atLeast"/>
        </w:trPr>
        <w:tc>
          <w:tcPr>
            <w:tcW w:w="3473" w:type="dxa"/>
          </w:tcPr>
          <w:p>
            <w:pPr>
              <w:pStyle w:val="TableParagraph"/>
              <w:tabs>
                <w:tab w:pos="1071" w:val="left" w:leader="none"/>
              </w:tabs>
              <w:spacing w:line="271" w:lineRule="exact"/>
              <w:ind w:left="107"/>
              <w:rPr>
                <w:rFonts w:ascii="Arial"/>
                <w:sz w:val="24"/>
              </w:rPr>
            </w:pPr>
            <w:r>
              <w:rPr>
                <w:rFonts w:ascii="Arial"/>
                <w:sz w:val="24"/>
              </w:rPr>
              <w:t>Object</w:t>
              <w:tab/>
              <w:t>&gt; 10</w:t>
            </w:r>
            <w:r>
              <w:rPr>
                <w:rFonts w:ascii="Arial"/>
                <w:spacing w:val="-2"/>
                <w:sz w:val="24"/>
              </w:rPr>
              <w:t> </w:t>
            </w:r>
            <w:r>
              <w:rPr>
                <w:rFonts w:ascii="Arial"/>
                <w:sz w:val="24"/>
              </w:rPr>
              <w:t>cm</w:t>
            </w:r>
          </w:p>
        </w:tc>
        <w:tc>
          <w:tcPr>
            <w:tcW w:w="4851" w:type="dxa"/>
          </w:tcPr>
          <w:p>
            <w:pPr>
              <w:pStyle w:val="TableParagraph"/>
              <w:spacing w:line="271" w:lineRule="exact"/>
              <w:ind w:left="709"/>
              <w:rPr>
                <w:rFonts w:ascii="Arial"/>
                <w:sz w:val="24"/>
              </w:rPr>
            </w:pPr>
            <w:r>
              <w:rPr>
                <w:rFonts w:ascii="Arial"/>
                <w:sz w:val="24"/>
              </w:rPr>
              <w:t>34 000</w:t>
            </w:r>
          </w:p>
        </w:tc>
      </w:tr>
      <w:tr>
        <w:trPr>
          <w:trHeight w:val="299" w:hRule="atLeast"/>
        </w:trPr>
        <w:tc>
          <w:tcPr>
            <w:tcW w:w="3473" w:type="dxa"/>
          </w:tcPr>
          <w:p>
            <w:pPr>
              <w:pStyle w:val="TableParagraph"/>
              <w:spacing w:line="271" w:lineRule="exact"/>
              <w:ind w:left="107"/>
              <w:rPr>
                <w:rFonts w:ascii="Arial" w:hAnsi="Arial"/>
                <w:sz w:val="24"/>
              </w:rPr>
            </w:pPr>
            <w:r>
              <w:rPr>
                <w:rFonts w:ascii="Arial" w:hAnsi="Arial"/>
                <w:sz w:val="24"/>
              </w:rPr>
              <w:t>Object 1 – 10 cm</w:t>
            </w:r>
          </w:p>
        </w:tc>
        <w:tc>
          <w:tcPr>
            <w:tcW w:w="4851" w:type="dxa"/>
          </w:tcPr>
          <w:p>
            <w:pPr>
              <w:pStyle w:val="TableParagraph"/>
              <w:spacing w:line="271" w:lineRule="exact"/>
              <w:ind w:left="574"/>
              <w:rPr>
                <w:rFonts w:ascii="Arial"/>
                <w:sz w:val="24"/>
              </w:rPr>
            </w:pPr>
            <w:r>
              <w:rPr>
                <w:rFonts w:ascii="Arial"/>
                <w:sz w:val="24"/>
              </w:rPr>
              <w:t>900 000</w:t>
            </w:r>
          </w:p>
        </w:tc>
      </w:tr>
      <w:tr>
        <w:trPr>
          <w:trHeight w:val="302" w:hRule="atLeast"/>
        </w:trPr>
        <w:tc>
          <w:tcPr>
            <w:tcW w:w="3473" w:type="dxa"/>
          </w:tcPr>
          <w:p>
            <w:pPr>
              <w:pStyle w:val="TableParagraph"/>
              <w:spacing w:line="274" w:lineRule="exact"/>
              <w:ind w:left="107"/>
              <w:rPr>
                <w:rFonts w:ascii="Arial" w:hAnsi="Arial"/>
                <w:sz w:val="24"/>
              </w:rPr>
            </w:pPr>
            <w:r>
              <w:rPr>
                <w:rFonts w:ascii="Arial" w:hAnsi="Arial"/>
                <w:sz w:val="24"/>
              </w:rPr>
              <w:t>Object 1 – 10 mm</w:t>
            </w:r>
          </w:p>
        </w:tc>
        <w:tc>
          <w:tcPr>
            <w:tcW w:w="4851" w:type="dxa"/>
          </w:tcPr>
          <w:p>
            <w:pPr>
              <w:pStyle w:val="TableParagraph"/>
              <w:spacing w:line="274" w:lineRule="exact"/>
              <w:ind w:left="106"/>
              <w:rPr>
                <w:rFonts w:ascii="Arial"/>
                <w:sz w:val="24"/>
              </w:rPr>
            </w:pPr>
            <w:r>
              <w:rPr>
                <w:rFonts w:ascii="Arial"/>
                <w:sz w:val="24"/>
              </w:rPr>
              <w:t>128 000 000</w:t>
            </w:r>
          </w:p>
        </w:tc>
      </w:tr>
      <w:tr>
        <w:trPr>
          <w:trHeight w:val="299" w:hRule="atLeast"/>
        </w:trPr>
        <w:tc>
          <w:tcPr>
            <w:tcW w:w="3473" w:type="dxa"/>
          </w:tcPr>
          <w:p>
            <w:pPr>
              <w:pStyle w:val="TableParagraph"/>
              <w:spacing w:line="271" w:lineRule="exact"/>
              <w:ind w:left="107"/>
              <w:rPr>
                <w:rFonts w:ascii="Arial"/>
                <w:sz w:val="24"/>
              </w:rPr>
            </w:pPr>
            <w:r>
              <w:rPr>
                <w:rFonts w:ascii="Arial"/>
                <w:sz w:val="24"/>
              </w:rPr>
              <w:t>Totale massa</w:t>
            </w:r>
          </w:p>
        </w:tc>
        <w:tc>
          <w:tcPr>
            <w:tcW w:w="4851" w:type="dxa"/>
          </w:tcPr>
          <w:p>
            <w:pPr>
              <w:pStyle w:val="TableParagraph"/>
              <w:spacing w:line="271" w:lineRule="exact"/>
              <w:ind w:left="107"/>
              <w:rPr>
                <w:rFonts w:ascii="Arial"/>
                <w:sz w:val="24"/>
              </w:rPr>
            </w:pPr>
            <w:r>
              <w:rPr>
                <w:rFonts w:ascii="Arial"/>
                <w:sz w:val="24"/>
              </w:rPr>
              <w:t>Ongeveer 3 miljoen kilogram</w:t>
            </w:r>
          </w:p>
        </w:tc>
      </w:tr>
    </w:tbl>
    <w:p>
      <w:pPr>
        <w:spacing w:before="0"/>
        <w:ind w:left="957" w:right="0" w:firstLine="0"/>
        <w:jc w:val="left"/>
        <w:rPr>
          <w:i/>
          <w:sz w:val="24"/>
        </w:rPr>
      </w:pPr>
      <w:r>
        <w:rPr>
          <w:i/>
          <w:sz w:val="24"/>
        </w:rPr>
        <w:t>Figuur 3: De hoeveelheid brokstukken door mensen in de ruimte gebracht.</w:t>
      </w:r>
    </w:p>
    <w:p>
      <w:pPr>
        <w:pStyle w:val="BodyText"/>
        <w:spacing w:before="4"/>
        <w:ind w:left="0"/>
        <w:rPr>
          <w:i/>
          <w:sz w:val="28"/>
        </w:rPr>
      </w:pPr>
    </w:p>
    <w:p>
      <w:pPr>
        <w:pStyle w:val="BodyText"/>
        <w:spacing w:line="261" w:lineRule="auto"/>
        <w:ind w:right="361"/>
      </w:pPr>
      <w:r>
        <w:rPr/>
        <w:t>Het ISS zal niet uitwijken voor het kleine puin, zodat het daarmee regelmatig in botsing komt.</w:t>
      </w:r>
    </w:p>
    <w:p>
      <w:pPr>
        <w:pStyle w:val="BodyText"/>
        <w:spacing w:line="261" w:lineRule="auto"/>
        <w:ind w:right="467"/>
      </w:pPr>
      <w:r>
        <w:rPr/>
        <w:t>Voor die lage banen zijn flux-metingen naar die kleine deeltjes gedaan. De resultaten staan in het diagram van figuur 4. De acht zonnepanelen van het ISS zijn elk 34 bij 12 meter en worden regelmatig getroffen.</w:t>
      </w:r>
    </w:p>
    <w:p>
      <w:pPr>
        <w:spacing w:after="0" w:line="261" w:lineRule="auto"/>
        <w:sectPr>
          <w:pgSz w:w="11910" w:h="16840"/>
          <w:pgMar w:header="0" w:footer="734" w:top="780" w:bottom="920" w:left="1140" w:right="1320"/>
        </w:sectPr>
      </w:pPr>
    </w:p>
    <w:p>
      <w:pPr>
        <w:pStyle w:val="BodyText"/>
        <w:ind w:left="108"/>
        <w:rPr>
          <w:sz w:val="20"/>
        </w:rPr>
      </w:pPr>
      <w:r>
        <w:rPr>
          <w:sz w:val="20"/>
        </w:rPr>
        <w:drawing>
          <wp:inline distT="0" distB="0" distL="0" distR="0">
            <wp:extent cx="5763160" cy="4944618"/>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763160" cy="4944618"/>
                    </a:xfrm>
                    <a:prstGeom prst="rect">
                      <a:avLst/>
                    </a:prstGeom>
                  </pic:spPr>
                </pic:pic>
              </a:graphicData>
            </a:graphic>
          </wp:inline>
        </w:drawing>
      </w:r>
      <w:r>
        <w:rPr>
          <w:sz w:val="20"/>
        </w:rPr>
      </w:r>
    </w:p>
    <w:p>
      <w:pPr>
        <w:spacing w:before="134"/>
        <w:ind w:left="957" w:right="0" w:firstLine="0"/>
        <w:jc w:val="left"/>
        <w:rPr>
          <w:i/>
          <w:sz w:val="24"/>
        </w:rPr>
      </w:pPr>
      <w:r>
        <w:rPr>
          <w:i/>
          <w:sz w:val="24"/>
        </w:rPr>
        <w:t>Figuur 4: Aantal botsingen met deeltjes ruimtepuin dat 1 m</w:t>
      </w:r>
      <w:r>
        <w:rPr>
          <w:i/>
          <w:position w:val="7"/>
          <w:sz w:val="16"/>
        </w:rPr>
        <w:t>2 </w:t>
      </w:r>
      <w:r>
        <w:rPr>
          <w:i/>
          <w:sz w:val="24"/>
        </w:rPr>
        <w:t>per jaar treft.</w:t>
      </w:r>
    </w:p>
    <w:p>
      <w:pPr>
        <w:pStyle w:val="BodyText"/>
        <w:spacing w:before="4"/>
        <w:ind w:left="0"/>
        <w:rPr>
          <w:i/>
          <w:sz w:val="28"/>
        </w:rPr>
      </w:pPr>
    </w:p>
    <w:p>
      <w:pPr>
        <w:pStyle w:val="BodyText"/>
      </w:pPr>
      <w:r>
        <w:rPr/>
        <w:t>Gebruik figuur 4.</w:t>
      </w:r>
    </w:p>
    <w:p>
      <w:pPr>
        <w:pStyle w:val="BodyText"/>
        <w:tabs>
          <w:tab w:pos="508" w:val="left" w:leader="none"/>
          <w:tab w:pos="957" w:val="left" w:leader="none"/>
        </w:tabs>
        <w:spacing w:line="280" w:lineRule="auto"/>
        <w:ind w:right="241" w:hanging="852"/>
      </w:pPr>
      <w:r>
        <w:rPr>
          <w:sz w:val="16"/>
        </w:rPr>
        <w:t>2p</w:t>
        <w:tab/>
      </w:r>
      <w:r>
        <w:rPr>
          <w:b/>
          <w:sz w:val="20"/>
        </w:rPr>
        <w:t>7</w:t>
        <w:tab/>
      </w:r>
      <w:r>
        <w:rPr/>
        <w:t>Bereken het verwachte aantal inslagen in de zonnepanelen van korreltjes van ongeveer 1 mm gedurende één</w:t>
      </w:r>
      <w:r>
        <w:rPr>
          <w:spacing w:val="5"/>
        </w:rPr>
        <w:t> </w:t>
      </w:r>
      <w:r>
        <w:rPr/>
        <w:t>jaar.</w:t>
      </w:r>
    </w:p>
    <w:p>
      <w:pPr>
        <w:pStyle w:val="BodyText"/>
        <w:spacing w:before="3"/>
        <w:ind w:left="0"/>
      </w:pPr>
    </w:p>
    <w:p>
      <w:pPr>
        <w:pStyle w:val="BodyText"/>
        <w:spacing w:line="259" w:lineRule="auto"/>
        <w:ind w:right="175"/>
      </w:pPr>
      <w:r>
        <w:rPr/>
        <w:drawing>
          <wp:anchor distT="0" distB="0" distL="0" distR="0" allowOverlap="1" layoutInCell="1" locked="0" behindDoc="0" simplePos="0" relativeHeight="3">
            <wp:simplePos x="0" y="0"/>
            <wp:positionH relativeFrom="page">
              <wp:posOffset>1377696</wp:posOffset>
            </wp:positionH>
            <wp:positionV relativeFrom="paragraph">
              <wp:posOffset>1174697</wp:posOffset>
            </wp:positionV>
            <wp:extent cx="1365504" cy="390144"/>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1365504" cy="390144"/>
                    </a:xfrm>
                    <a:prstGeom prst="rect">
                      <a:avLst/>
                    </a:prstGeom>
                  </pic:spPr>
                </pic:pic>
              </a:graphicData>
            </a:graphic>
          </wp:anchor>
        </w:drawing>
      </w:r>
      <w:r>
        <w:rPr/>
        <w:t>Uitwijkmanoeuvres worden pas gedaan als een brokstuk van 2 cm of meer op ramkoers ligt. Hiervoor neemt NASA de veiligheidsmarge van een passage op 1 km, wat overeenkomt met een potentieel trefoppervlak van 4 km</w:t>
      </w:r>
      <w:r>
        <w:rPr>
          <w:position w:val="8"/>
          <w:sz w:val="16"/>
        </w:rPr>
        <w:t>2</w:t>
      </w:r>
      <w:r>
        <w:rPr/>
        <w:t>. Voor dit soort gebeurtenissen kan het risico worden berekend met de Poisson verdeling. Hierbij is λ de kans op één botsing per jaar. P(X=k) rekent uit hoe groot de kans is op k botsingen gedurende een jaar.</w:t>
      </w:r>
    </w:p>
    <w:p>
      <w:pPr>
        <w:pStyle w:val="BodyText"/>
        <w:tabs>
          <w:tab w:pos="508" w:val="left" w:leader="none"/>
          <w:tab w:pos="957" w:val="left" w:leader="none"/>
        </w:tabs>
        <w:spacing w:line="280" w:lineRule="auto" w:before="26"/>
        <w:ind w:right="521" w:hanging="852"/>
      </w:pPr>
      <w:r>
        <w:rPr>
          <w:sz w:val="16"/>
        </w:rPr>
        <w:t>3p</w:t>
        <w:tab/>
      </w:r>
      <w:r>
        <w:rPr>
          <w:b/>
          <w:sz w:val="20"/>
        </w:rPr>
        <w:t>8</w:t>
        <w:tab/>
      </w:r>
      <w:r>
        <w:rPr/>
        <w:t>Bereken de kans dat er in een kalenderjaar drie uitwijkmanoeuvres moeten plaatsvinden.</w:t>
      </w:r>
    </w:p>
    <w:p>
      <w:pPr>
        <w:spacing w:after="0" w:line="280" w:lineRule="auto"/>
        <w:sectPr>
          <w:pgSz w:w="11910" w:h="16840"/>
          <w:pgMar w:header="0" w:footer="734" w:top="840" w:bottom="920" w:left="1140" w:right="1320"/>
        </w:sectPr>
      </w:pPr>
    </w:p>
    <w:p>
      <w:pPr>
        <w:pStyle w:val="Heading1"/>
        <w:spacing w:before="75"/>
      </w:pPr>
      <w:r>
        <w:rPr/>
        <w:t>Vlinderslag</w:t>
      </w:r>
    </w:p>
    <w:p>
      <w:pPr>
        <w:pStyle w:val="BodyText"/>
        <w:spacing w:before="2"/>
        <w:ind w:left="0"/>
        <w:rPr>
          <w:b/>
          <w:sz w:val="28"/>
        </w:rPr>
      </w:pPr>
    </w:p>
    <w:p>
      <w:pPr>
        <w:pStyle w:val="BodyText"/>
        <w:spacing w:line="261" w:lineRule="auto"/>
        <w:ind w:right="615"/>
      </w:pPr>
      <w:r>
        <w:rPr/>
        <w:drawing>
          <wp:anchor distT="0" distB="0" distL="0" distR="0" allowOverlap="1" layoutInCell="1" locked="0" behindDoc="0" simplePos="0" relativeHeight="15731200">
            <wp:simplePos x="0" y="0"/>
            <wp:positionH relativeFrom="page">
              <wp:posOffset>1333500</wp:posOffset>
            </wp:positionH>
            <wp:positionV relativeFrom="paragraph">
              <wp:posOffset>747977</wp:posOffset>
            </wp:positionV>
            <wp:extent cx="2779776" cy="1844039"/>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2779776" cy="1844039"/>
                    </a:xfrm>
                    <a:prstGeom prst="rect">
                      <a:avLst/>
                    </a:prstGeom>
                  </pic:spPr>
                </pic:pic>
              </a:graphicData>
            </a:graphic>
          </wp:anchor>
        </w:drawing>
      </w:r>
      <w:r>
        <w:rPr/>
        <w:t>Jasper traint als 16-jarige junior sinds dit jaar voor de vlinderslag in het zwembad de Tongelreep in Eindhoven. Omdat hij vorige maand bij een wedstrijd de 50 meter vlinderslag aflegde in 35,0 seconden mag hij tot zijn blijdschap binnenkort meedoen aan het juniorencircuit van de KNZB.</w:t>
      </w: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spacing w:before="213"/>
        <w:ind w:left="957" w:right="0" w:firstLine="0"/>
        <w:jc w:val="left"/>
        <w:rPr>
          <w:i/>
          <w:sz w:val="24"/>
        </w:rPr>
      </w:pPr>
      <w:r>
        <w:rPr>
          <w:i/>
          <w:sz w:val="24"/>
        </w:rPr>
        <w:t>Figuur 5: Vlinderslag van voren gezien</w:t>
      </w:r>
    </w:p>
    <w:p>
      <w:pPr>
        <w:pStyle w:val="BodyText"/>
        <w:spacing w:before="4"/>
        <w:ind w:left="0"/>
        <w:rPr>
          <w:i/>
          <w:sz w:val="28"/>
        </w:rPr>
      </w:pPr>
    </w:p>
    <w:p>
      <w:pPr>
        <w:pStyle w:val="BodyText"/>
      </w:pPr>
      <w:r>
        <w:rPr/>
        <w:t>De techniek van de vlinderslag is complex, legt zijn trainer Jasper uit.</w:t>
      </w:r>
    </w:p>
    <w:p>
      <w:pPr>
        <w:pStyle w:val="BodyText"/>
        <w:spacing w:line="261" w:lineRule="auto" w:before="24"/>
        <w:ind w:right="161"/>
      </w:pPr>
      <w:r>
        <w:rPr/>
        <w:t>“Je lichaam ligt steeds met de buikzijde in het water, terwijl beide schouders parallel met het wateroppervlak blijven. Als zwemmer moet je je linker- en rechterarm tegelijk boven water naar voren bewegen, terwijl je je knieën geleidelijk buigt. Dan steek je de armen in het water en strek je je benen weer krachtig voor extra stuwing. Wanneer je armen loodrecht naar beneden hangen, vlak voordat je ermee het water naar achteren stuwt, begin je je knieën weer lichtjes te buigen. Daarna haal je je armen actief naar achter door en kom je weer in de uitgangspositie.”</w:t>
      </w:r>
    </w:p>
    <w:p>
      <w:pPr>
        <w:pStyle w:val="BodyText"/>
        <w:spacing w:line="261" w:lineRule="auto"/>
        <w:ind w:right="214"/>
      </w:pPr>
      <w:r>
        <w:rPr/>
        <w:t>“Vergeet in die laatste positie niet je navel iets naar voren te drukken, zodat je met je mond weer adem kunt halen. Dat doe je na verloop van tijd niet meer zo vaak, omdat je steeds getrainder wordt.”</w:t>
      </w:r>
    </w:p>
    <w:p>
      <w:pPr>
        <w:pStyle w:val="BodyText"/>
        <w:spacing w:line="261" w:lineRule="auto"/>
        <w:ind w:right="815"/>
      </w:pPr>
      <w:r>
        <w:rPr/>
        <w:t>Na een vraag over zijn voeten vertelt de trainer: “De bewegingen van de voeten zijn tegelijkertijd in een verticaal vlak. Zo ontstaat een golvende beweging van je lichaam.”</w:t>
      </w:r>
    </w:p>
    <w:p>
      <w:pPr>
        <w:pStyle w:val="BodyText"/>
        <w:spacing w:line="261" w:lineRule="auto"/>
        <w:ind w:right="148"/>
      </w:pPr>
      <w:r>
        <w:rPr/>
        <w:t>Tijdens zijn uitleg tekent de zwemtrainer de vlinderslagbeweging van opzij aan de hand van vijf opeenvolgende stickdiagrammen.</w:t>
      </w:r>
    </w:p>
    <w:p>
      <w:pPr>
        <w:pStyle w:val="BodyText"/>
        <w:spacing w:line="274" w:lineRule="exact"/>
      </w:pPr>
      <w:r>
        <w:rPr/>
        <w:drawing>
          <wp:anchor distT="0" distB="0" distL="0" distR="0" allowOverlap="1" layoutInCell="1" locked="0" behindDoc="0" simplePos="0" relativeHeight="4">
            <wp:simplePos x="0" y="0"/>
            <wp:positionH relativeFrom="page">
              <wp:posOffset>1619605</wp:posOffset>
            </wp:positionH>
            <wp:positionV relativeFrom="paragraph">
              <wp:posOffset>248537</wp:posOffset>
            </wp:positionV>
            <wp:extent cx="2111728" cy="1468374"/>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2111728" cy="1468374"/>
                    </a:xfrm>
                    <a:prstGeom prst="rect">
                      <a:avLst/>
                    </a:prstGeom>
                  </pic:spPr>
                </pic:pic>
              </a:graphicData>
            </a:graphic>
          </wp:anchor>
        </w:drawing>
      </w:r>
      <w:r>
        <w:rPr/>
        <w:t>Het eerste diagram (figuur 6) toont de basishouding.</w:t>
      </w:r>
    </w:p>
    <w:p>
      <w:pPr>
        <w:spacing w:before="172"/>
        <w:ind w:left="957" w:right="0" w:firstLine="0"/>
        <w:jc w:val="left"/>
        <w:rPr>
          <w:i/>
          <w:sz w:val="24"/>
        </w:rPr>
      </w:pPr>
      <w:r>
        <w:rPr>
          <w:i/>
          <w:sz w:val="24"/>
        </w:rPr>
        <w:t>Figuur 6: Basishouding vlinderslag van opzij met stickdiagram</w:t>
      </w:r>
    </w:p>
    <w:p>
      <w:pPr>
        <w:spacing w:after="0"/>
        <w:jc w:val="left"/>
        <w:rPr>
          <w:sz w:val="24"/>
        </w:rPr>
        <w:sectPr>
          <w:pgSz w:w="11910" w:h="16840"/>
          <w:pgMar w:header="0" w:footer="734" w:top="780" w:bottom="920" w:left="1140" w:right="1320"/>
        </w:sectPr>
      </w:pPr>
    </w:p>
    <w:p>
      <w:pPr>
        <w:pStyle w:val="BodyText"/>
        <w:spacing w:before="75"/>
      </w:pPr>
      <w:r>
        <w:rPr/>
        <w:t>Gebruik figuur 6.</w:t>
      </w:r>
    </w:p>
    <w:p>
      <w:pPr>
        <w:pStyle w:val="BodyText"/>
        <w:spacing w:line="261" w:lineRule="auto" w:before="24"/>
        <w:ind w:right="373" w:hanging="852"/>
        <w:jc w:val="both"/>
      </w:pPr>
      <w:r>
        <w:rPr>
          <w:sz w:val="16"/>
        </w:rPr>
        <w:t>3p </w:t>
      </w:r>
      <w:r>
        <w:rPr>
          <w:b/>
          <w:sz w:val="20"/>
        </w:rPr>
        <w:t>9  </w:t>
      </w:r>
      <w:r>
        <w:rPr/>
        <w:t>Rond op basis van de bovenstaande tekst en de basishouding (figuur 6) met vier opeenvolgende stickdiagrammen de vlinderslag</w:t>
      </w:r>
      <w:r>
        <w:rPr>
          <w:spacing w:val="-1"/>
        </w:rPr>
        <w:t> </w:t>
      </w:r>
      <w:r>
        <w:rPr/>
        <w:t>af.</w:t>
      </w:r>
    </w:p>
    <w:p>
      <w:pPr>
        <w:pStyle w:val="BodyText"/>
        <w:ind w:left="0"/>
        <w:rPr>
          <w:sz w:val="26"/>
        </w:rPr>
      </w:pPr>
    </w:p>
    <w:p>
      <w:pPr>
        <w:pStyle w:val="BodyText"/>
        <w:spacing w:line="261" w:lineRule="auto"/>
        <w:ind w:right="321"/>
      </w:pPr>
      <w:r>
        <w:rPr/>
        <w:t>De trainer legt Jasper verder uit, dat een zwemmer ongeveer 80% van de voortbeweging haalt uit de armslag en 20% uit de beenslag. De belangrijkste spierbundels voor de armslag zijn die van de schouderflexoren (zie figuur 7). Het betreffen de deltavormige spier (</w:t>
      </w:r>
      <w:r>
        <w:rPr>
          <w:i/>
        </w:rPr>
        <w:t>deltoideus </w:t>
      </w:r>
      <w:r>
        <w:rPr/>
        <w:t>of </w:t>
      </w:r>
      <w:r>
        <w:rPr>
          <w:i/>
        </w:rPr>
        <w:t>deltoid</w:t>
      </w:r>
      <w:r>
        <w:rPr/>
        <w:t>), de armbuiger (</w:t>
      </w:r>
      <w:r>
        <w:rPr>
          <w:i/>
        </w:rPr>
        <w:t>biceps brachii</w:t>
      </w:r>
      <w:r>
        <w:rPr/>
        <w:t>), de armstrekker (</w:t>
      </w:r>
      <w:r>
        <w:rPr>
          <w:i/>
        </w:rPr>
        <w:t>triceps brachii</w:t>
      </w:r>
      <w:r>
        <w:rPr/>
        <w:t>) en de grote borstspier (</w:t>
      </w:r>
      <w:r>
        <w:rPr>
          <w:i/>
        </w:rPr>
        <w:t>pectoralis major</w:t>
      </w:r>
      <w:r>
        <w:rPr/>
        <w:t>). Voor deze spieren bestaan speciale krachttrainingen.</w:t>
      </w:r>
    </w:p>
    <w:p>
      <w:pPr>
        <w:pStyle w:val="BodyText"/>
        <w:spacing w:before="4"/>
        <w:ind w:left="0"/>
        <w:rPr>
          <w:sz w:val="20"/>
        </w:rPr>
      </w:pPr>
      <w:r>
        <w:rPr/>
        <w:drawing>
          <wp:anchor distT="0" distB="0" distL="0" distR="0" allowOverlap="1" layoutInCell="1" locked="0" behindDoc="0" simplePos="0" relativeHeight="6">
            <wp:simplePos x="0" y="0"/>
            <wp:positionH relativeFrom="page">
              <wp:posOffset>1406135</wp:posOffset>
            </wp:positionH>
            <wp:positionV relativeFrom="paragraph">
              <wp:posOffset>173439</wp:posOffset>
            </wp:positionV>
            <wp:extent cx="4617317" cy="2898648"/>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4617317" cy="2898648"/>
                    </a:xfrm>
                    <a:prstGeom prst="rect">
                      <a:avLst/>
                    </a:prstGeom>
                  </pic:spPr>
                </pic:pic>
              </a:graphicData>
            </a:graphic>
          </wp:anchor>
        </w:drawing>
      </w:r>
    </w:p>
    <w:p>
      <w:pPr>
        <w:spacing w:before="0"/>
        <w:ind w:left="1024" w:right="0" w:firstLine="0"/>
        <w:jc w:val="left"/>
        <w:rPr>
          <w:i/>
          <w:sz w:val="24"/>
        </w:rPr>
      </w:pPr>
      <w:r>
        <w:rPr>
          <w:i/>
          <w:sz w:val="24"/>
        </w:rPr>
        <w:t>Figuur 7: Spieren rond de schouder</w:t>
      </w:r>
    </w:p>
    <w:p>
      <w:pPr>
        <w:pStyle w:val="BodyText"/>
        <w:spacing w:before="4"/>
        <w:ind w:left="0"/>
        <w:rPr>
          <w:i/>
          <w:sz w:val="28"/>
        </w:rPr>
      </w:pPr>
    </w:p>
    <w:p>
      <w:pPr>
        <w:pStyle w:val="BodyText"/>
        <w:jc w:val="both"/>
      </w:pPr>
      <w:r>
        <w:rPr/>
        <w:t>Over de deltoideus doet de trainer van Jasper vier beweringen.</w:t>
      </w:r>
    </w:p>
    <w:p>
      <w:pPr>
        <w:pStyle w:val="BodyText"/>
        <w:spacing w:line="261" w:lineRule="auto" w:before="24"/>
        <w:ind w:right="359" w:hanging="852"/>
        <w:jc w:val="both"/>
      </w:pPr>
      <w:r>
        <w:rPr>
          <w:sz w:val="16"/>
        </w:rPr>
        <w:t>2p  </w:t>
      </w:r>
      <w:r>
        <w:rPr>
          <w:b/>
          <w:sz w:val="20"/>
        </w:rPr>
        <w:t>10  </w:t>
      </w:r>
      <w:r>
        <w:rPr/>
        <w:t>Geef voor elk van de onderstaande beweringen a, b, c en d aan of deze juist of onjuist</w:t>
      </w:r>
      <w:r>
        <w:rPr>
          <w:spacing w:val="1"/>
        </w:rPr>
        <w:t> </w:t>
      </w:r>
      <w:r>
        <w:rPr/>
        <w:t>is.</w:t>
      </w:r>
    </w:p>
    <w:p>
      <w:pPr>
        <w:pStyle w:val="ListParagraph"/>
        <w:numPr>
          <w:ilvl w:val="0"/>
          <w:numId w:val="2"/>
        </w:numPr>
        <w:tabs>
          <w:tab w:pos="1385" w:val="left" w:leader="none"/>
        </w:tabs>
        <w:spacing w:line="274" w:lineRule="exact" w:before="0" w:after="0"/>
        <w:ind w:left="1384" w:right="0" w:hanging="428"/>
        <w:jc w:val="both"/>
        <w:rPr>
          <w:sz w:val="24"/>
        </w:rPr>
      </w:pPr>
      <w:r>
        <w:rPr>
          <w:sz w:val="24"/>
        </w:rPr>
        <w:t>De deltoideus is een willekeurige</w:t>
      </w:r>
      <w:r>
        <w:rPr>
          <w:spacing w:val="3"/>
          <w:sz w:val="24"/>
        </w:rPr>
        <w:t> </w:t>
      </w:r>
      <w:r>
        <w:rPr>
          <w:sz w:val="24"/>
        </w:rPr>
        <w:t>spier.</w:t>
      </w:r>
    </w:p>
    <w:p>
      <w:pPr>
        <w:pStyle w:val="ListParagraph"/>
        <w:numPr>
          <w:ilvl w:val="0"/>
          <w:numId w:val="2"/>
        </w:numPr>
        <w:tabs>
          <w:tab w:pos="1385" w:val="left" w:leader="none"/>
        </w:tabs>
        <w:spacing w:line="240" w:lineRule="auto" w:before="24" w:after="0"/>
        <w:ind w:left="1384" w:right="0" w:hanging="428"/>
        <w:jc w:val="both"/>
        <w:rPr>
          <w:sz w:val="24"/>
        </w:rPr>
      </w:pPr>
      <w:r>
        <w:rPr>
          <w:sz w:val="24"/>
        </w:rPr>
        <w:t>Een antagonist van de deltoideus kan de grote borstspier</w:t>
      </w:r>
      <w:r>
        <w:rPr>
          <w:spacing w:val="1"/>
          <w:sz w:val="24"/>
        </w:rPr>
        <w:t> </w:t>
      </w:r>
      <w:r>
        <w:rPr>
          <w:sz w:val="24"/>
        </w:rPr>
        <w:t>zijn.</w:t>
      </w:r>
    </w:p>
    <w:p>
      <w:pPr>
        <w:pStyle w:val="ListParagraph"/>
        <w:numPr>
          <w:ilvl w:val="0"/>
          <w:numId w:val="2"/>
        </w:numPr>
        <w:tabs>
          <w:tab w:pos="1385" w:val="left" w:leader="none"/>
        </w:tabs>
        <w:spacing w:line="261" w:lineRule="auto" w:before="24" w:after="0"/>
        <w:ind w:left="1384" w:right="668" w:hanging="428"/>
        <w:jc w:val="both"/>
        <w:rPr>
          <w:sz w:val="24"/>
        </w:rPr>
      </w:pPr>
      <w:r>
        <w:rPr>
          <w:sz w:val="24"/>
        </w:rPr>
        <w:t>Als de deltoideus samentrekt schuiven de myosine-eiwitten tussen de actine</w:t>
      </w:r>
      <w:r>
        <w:rPr>
          <w:spacing w:val="-3"/>
          <w:sz w:val="24"/>
        </w:rPr>
        <w:t> </w:t>
      </w:r>
      <w:r>
        <w:rPr>
          <w:sz w:val="24"/>
        </w:rPr>
        <w:t>eiwitten.</w:t>
      </w:r>
    </w:p>
    <w:p>
      <w:pPr>
        <w:pStyle w:val="ListParagraph"/>
        <w:numPr>
          <w:ilvl w:val="0"/>
          <w:numId w:val="2"/>
        </w:numPr>
        <w:tabs>
          <w:tab w:pos="1385" w:val="left" w:leader="none"/>
        </w:tabs>
        <w:spacing w:line="256" w:lineRule="auto" w:before="0" w:after="0"/>
        <w:ind w:left="1384" w:right="711" w:hanging="428"/>
        <w:jc w:val="both"/>
        <w:rPr>
          <w:rFonts w:ascii="Carlito" w:hAnsi="Carlito"/>
          <w:sz w:val="22"/>
        </w:rPr>
      </w:pPr>
      <w:r>
        <w:rPr>
          <w:sz w:val="24"/>
        </w:rPr>
        <w:t>Wanneer de deltoideus relatief veel witte spiervezels bevat, geeft dat aan dat er zich veel mitochondriën in bevinden voor een hoge</w:t>
      </w:r>
      <w:r>
        <w:rPr>
          <w:spacing w:val="-25"/>
          <w:sz w:val="24"/>
        </w:rPr>
        <w:t> </w:t>
      </w:r>
      <w:r>
        <w:rPr>
          <w:sz w:val="24"/>
        </w:rPr>
        <w:t>aerobe capaciteit</w:t>
      </w:r>
      <w:r>
        <w:rPr>
          <w:rFonts w:ascii="Carlito" w:hAnsi="Carlito"/>
          <w:sz w:val="22"/>
        </w:rPr>
        <w:t>.</w:t>
      </w:r>
    </w:p>
    <w:p>
      <w:pPr>
        <w:spacing w:after="0" w:line="256" w:lineRule="auto"/>
        <w:jc w:val="both"/>
        <w:rPr>
          <w:rFonts w:ascii="Carlito" w:hAnsi="Carlito"/>
          <w:sz w:val="22"/>
        </w:rPr>
        <w:sectPr>
          <w:pgSz w:w="11910" w:h="16840"/>
          <w:pgMar w:header="0" w:footer="734" w:top="780" w:bottom="920" w:left="1140" w:right="1320"/>
        </w:sectPr>
      </w:pPr>
    </w:p>
    <w:p>
      <w:pPr>
        <w:pStyle w:val="BodyText"/>
        <w:spacing w:line="261" w:lineRule="auto" w:before="75"/>
        <w:ind w:right="174"/>
      </w:pPr>
      <w:r>
        <w:rPr/>
        <w:t>Laatst had Jasper voor de ochtendtraining niet ontbeten. Dat merkte hij al snel toen hij tijdens een training vier series vrije slag (borstcrawl) over 100 meter moest zwemmen, met steeds 25 meter schoolslag na elke serie om een beetje uit te rusten. Tijdens de vierde serie zag hij zwart voor de ogen en had hij nauwelijks energie over om vooruit te komen. Zijn trainer vertelde hem later dat deze plotselinge energiezwakte onder sporters bekend staat als “hongerklop” en dat die tijdens zwemtrainingen vooral voorkomt als een zwemmer tijdens een zware inspanning maar beperkt kan</w:t>
      </w:r>
      <w:r>
        <w:rPr>
          <w:spacing w:val="-4"/>
        </w:rPr>
        <w:t> </w:t>
      </w:r>
      <w:r>
        <w:rPr/>
        <w:t>ademhalen.</w:t>
      </w:r>
    </w:p>
    <w:p>
      <w:pPr>
        <w:pStyle w:val="BodyText"/>
        <w:tabs>
          <w:tab w:pos="508" w:val="left" w:leader="none"/>
          <w:tab w:pos="957" w:val="left" w:leader="none"/>
        </w:tabs>
        <w:spacing w:line="261" w:lineRule="auto"/>
        <w:ind w:right="1120" w:hanging="852"/>
      </w:pPr>
      <w:r>
        <w:rPr>
          <w:sz w:val="16"/>
        </w:rPr>
        <w:t>3p</w:t>
        <w:tab/>
      </w:r>
      <w:r>
        <w:rPr>
          <w:b/>
          <w:sz w:val="20"/>
        </w:rPr>
        <w:t>11</w:t>
        <w:tab/>
      </w:r>
      <w:r>
        <w:rPr/>
        <w:t>Leg uit welk verband er bestaat tussen de hongerklop en de beperkte hoeveelheid energie die vrijkomt tijdens een zware</w:t>
      </w:r>
      <w:r>
        <w:rPr>
          <w:spacing w:val="-5"/>
        </w:rPr>
        <w:t> </w:t>
      </w:r>
      <w:r>
        <w:rPr/>
        <w:t>zwemtraining.</w:t>
      </w:r>
    </w:p>
    <w:p>
      <w:pPr>
        <w:pStyle w:val="BodyText"/>
        <w:spacing w:before="5"/>
        <w:ind w:left="0"/>
        <w:rPr>
          <w:sz w:val="25"/>
        </w:rPr>
      </w:pPr>
    </w:p>
    <w:p>
      <w:pPr>
        <w:pStyle w:val="BodyText"/>
        <w:spacing w:line="261" w:lineRule="auto"/>
        <w:ind w:right="188"/>
      </w:pPr>
      <w:r>
        <w:rPr/>
        <w:t>Na verloop van tijd kan Jasper steeds sneller zwemmen over langere afstanden. Dat geldt met name voor de vrije slag, waar hij ook voor traint. Zo legt hij de 400 meter vrije slag in een 50 meter bad inmiddels af in een tijd van rond de 4 minuten. Jasper heeft in de literatuur gelezen dat bij een constante snelheid tijdens zo’n 400 meter een gemiddelde wedstrijdzwemmer 144 kJ nuttige arbeid levert. Hij gaat doorrekenen wat het mechanisch vermogen van zo’n gemiddelde zwemmer is bij een tijd van exact 4,00 minuten. Waar je bij het beantwoorden van de volgende vraag geen rekening mee hoeft te houden is dat:</w:t>
      </w:r>
    </w:p>
    <w:p>
      <w:pPr>
        <w:pStyle w:val="ListParagraph"/>
        <w:numPr>
          <w:ilvl w:val="0"/>
          <w:numId w:val="3"/>
        </w:numPr>
        <w:tabs>
          <w:tab w:pos="1325" w:val="left" w:leader="none"/>
          <w:tab w:pos="1326" w:val="left" w:leader="none"/>
        </w:tabs>
        <w:spacing w:line="269" w:lineRule="exact" w:before="0" w:after="0"/>
        <w:ind w:left="1325" w:right="0" w:hanging="362"/>
        <w:jc w:val="left"/>
        <w:rPr>
          <w:sz w:val="24"/>
        </w:rPr>
      </w:pPr>
      <w:r>
        <w:rPr>
          <w:sz w:val="24"/>
        </w:rPr>
        <w:t>een zwemmer lichaamswarmte verliest aan het</w:t>
      </w:r>
      <w:r>
        <w:rPr>
          <w:spacing w:val="2"/>
          <w:sz w:val="24"/>
        </w:rPr>
        <w:t> </w:t>
      </w:r>
      <w:r>
        <w:rPr>
          <w:sz w:val="24"/>
        </w:rPr>
        <w:t>water;</w:t>
      </w:r>
    </w:p>
    <w:p>
      <w:pPr>
        <w:pStyle w:val="ListParagraph"/>
        <w:numPr>
          <w:ilvl w:val="0"/>
          <w:numId w:val="3"/>
        </w:numPr>
        <w:tabs>
          <w:tab w:pos="1325" w:val="left" w:leader="none"/>
          <w:tab w:pos="1326" w:val="left" w:leader="none"/>
        </w:tabs>
        <w:spacing w:line="261" w:lineRule="auto" w:before="24" w:after="0"/>
        <w:ind w:left="1324" w:right="205" w:hanging="360"/>
        <w:jc w:val="left"/>
        <w:rPr>
          <w:sz w:val="24"/>
        </w:rPr>
      </w:pPr>
      <w:r>
        <w:rPr>
          <w:sz w:val="24"/>
        </w:rPr>
        <w:t>er kracht verloren gaat bij het nemen van de keerpunten aan elk einde van een 50 meterbad.</w:t>
      </w:r>
    </w:p>
    <w:p>
      <w:pPr>
        <w:pStyle w:val="BodyText"/>
        <w:tabs>
          <w:tab w:pos="508" w:val="left" w:leader="none"/>
          <w:tab w:pos="957" w:val="left" w:leader="none"/>
        </w:tabs>
        <w:spacing w:line="261" w:lineRule="auto"/>
        <w:ind w:right="268" w:hanging="852"/>
      </w:pPr>
      <w:r>
        <w:rPr>
          <w:sz w:val="16"/>
        </w:rPr>
        <w:t>2p</w:t>
        <w:tab/>
      </w:r>
      <w:r>
        <w:rPr>
          <w:b/>
          <w:sz w:val="20"/>
        </w:rPr>
        <w:t>12</w:t>
        <w:tab/>
      </w:r>
      <w:r>
        <w:rPr/>
        <w:t>Bereken het nuttig mechanisch vermogen van de gemiddelde wedstrijdzwemmer tijdens een race over 400 meter in de beschreven</w:t>
      </w:r>
      <w:r>
        <w:rPr>
          <w:spacing w:val="-12"/>
        </w:rPr>
        <w:t> </w:t>
      </w:r>
      <w:r>
        <w:rPr/>
        <w:t>situatie.</w:t>
      </w:r>
    </w:p>
    <w:p>
      <w:pPr>
        <w:pStyle w:val="BodyText"/>
        <w:spacing w:before="9"/>
        <w:ind w:left="0"/>
        <w:rPr>
          <w:sz w:val="25"/>
        </w:rPr>
      </w:pPr>
    </w:p>
    <w:p>
      <w:pPr>
        <w:pStyle w:val="BodyText"/>
        <w:tabs>
          <w:tab w:pos="508" w:val="left" w:leader="none"/>
          <w:tab w:pos="957" w:val="left" w:leader="none"/>
        </w:tabs>
        <w:spacing w:line="261" w:lineRule="auto"/>
        <w:ind w:right="1440" w:hanging="852"/>
      </w:pPr>
      <w:r>
        <w:rPr>
          <w:sz w:val="16"/>
        </w:rPr>
        <w:t>2p</w:t>
        <w:tab/>
      </w:r>
      <w:r>
        <w:rPr>
          <w:b/>
          <w:sz w:val="20"/>
        </w:rPr>
        <w:t>13</w:t>
        <w:tab/>
      </w:r>
      <w:r>
        <w:rPr/>
        <w:t>Bereken de voorwaartse kracht op het lichaam van de gemiddelde wedstrijdzwemmer in de hierboven beschreven</w:t>
      </w:r>
      <w:r>
        <w:rPr>
          <w:spacing w:val="2"/>
        </w:rPr>
        <w:t> </w:t>
      </w:r>
      <w:r>
        <w:rPr/>
        <w:t>situatie.</w:t>
      </w:r>
    </w:p>
    <w:p>
      <w:pPr>
        <w:spacing w:after="0" w:line="261" w:lineRule="auto"/>
        <w:sectPr>
          <w:pgSz w:w="11910" w:h="16840"/>
          <w:pgMar w:header="0" w:footer="734" w:top="780" w:bottom="920" w:left="1140" w:right="1320"/>
        </w:sectPr>
      </w:pPr>
    </w:p>
    <w:p>
      <w:pPr>
        <w:pStyle w:val="Heading1"/>
        <w:spacing w:before="75"/>
      </w:pPr>
      <w:r>
        <w:rPr/>
        <w:t>Menselijke geluidscommunicatie</w:t>
      </w:r>
    </w:p>
    <w:p>
      <w:pPr>
        <w:pStyle w:val="BodyText"/>
        <w:spacing w:before="2"/>
        <w:ind w:left="0"/>
        <w:rPr>
          <w:b/>
          <w:sz w:val="28"/>
        </w:rPr>
      </w:pPr>
    </w:p>
    <w:p>
      <w:pPr>
        <w:pStyle w:val="BodyText"/>
      </w:pPr>
      <w:r>
        <w:rPr/>
        <w:t>Bij deze opgave gebruik je op de uitwerkbijlage figuur 8a, 8b en 8c.</w:t>
      </w:r>
    </w:p>
    <w:p>
      <w:pPr>
        <w:pStyle w:val="BodyText"/>
        <w:spacing w:before="24"/>
      </w:pPr>
      <w:r>
        <w:rPr/>
        <w:t>Bij deze opgave kun je onder andere gebruik maken van Binas tabel 87D.</w:t>
      </w:r>
    </w:p>
    <w:p>
      <w:pPr>
        <w:pStyle w:val="BodyText"/>
        <w:spacing w:before="2"/>
        <w:ind w:left="0"/>
        <w:rPr>
          <w:sz w:val="28"/>
        </w:rPr>
      </w:pPr>
    </w:p>
    <w:p>
      <w:pPr>
        <w:pStyle w:val="BodyText"/>
        <w:spacing w:line="261" w:lineRule="auto" w:before="1"/>
        <w:ind w:right="215"/>
      </w:pPr>
      <w:r>
        <w:rPr/>
        <w:t>Door de vorm en werking van spraak- en gehoororganen maken deze de menselijke communicatie met haar vele klinkers goed mogelijk. De resonantie in de keel- mond- en neusholten wordt veroorzaakt door trillingen van de stembanden. Door de vorm van die holten met de stand van de tong te veranderen, ontstaan steeds andere klinkers. Tegelijk hangt de grondfrequentie van de stembanden af van hun lengte en met de mate van aanspanning kan men deze lengte zelf regelen. Zo hebben vrouwen en jonge mensen vaak hogere stemmen dan oudere mannen. Bert, een oudere man met een lage stem, spreekt het woord “baas” uit met een frequentie van 80 Hz. In figuur 8 is het frequentiespectrum van de klinker [a] in dit woord afgebeeld. Het spectrum is opgenomen van 0 tot 3 kHz. Figuur 8 staat ook in de uitwerkbijlage.</w:t>
      </w:r>
    </w:p>
    <w:p>
      <w:pPr>
        <w:pStyle w:val="BodyText"/>
        <w:spacing w:before="3"/>
        <w:ind w:left="0"/>
        <w:rPr>
          <w:sz w:val="19"/>
        </w:rPr>
      </w:pPr>
      <w:r>
        <w:rPr/>
        <w:drawing>
          <wp:anchor distT="0" distB="0" distL="0" distR="0" allowOverlap="1" layoutInCell="1" locked="0" behindDoc="0" simplePos="0" relativeHeight="7">
            <wp:simplePos x="0" y="0"/>
            <wp:positionH relativeFrom="page">
              <wp:posOffset>1328927</wp:posOffset>
            </wp:positionH>
            <wp:positionV relativeFrom="paragraph">
              <wp:posOffset>165577</wp:posOffset>
            </wp:positionV>
            <wp:extent cx="5276088" cy="2871216"/>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5276088" cy="2871216"/>
                    </a:xfrm>
                    <a:prstGeom prst="rect">
                      <a:avLst/>
                    </a:prstGeom>
                  </pic:spPr>
                </pic:pic>
              </a:graphicData>
            </a:graphic>
          </wp:anchor>
        </w:drawing>
      </w:r>
    </w:p>
    <w:p>
      <w:pPr>
        <w:spacing w:before="0"/>
        <w:ind w:left="962" w:right="0" w:firstLine="0"/>
        <w:jc w:val="left"/>
        <w:rPr>
          <w:i/>
          <w:sz w:val="24"/>
        </w:rPr>
      </w:pPr>
      <w:r>
        <w:rPr>
          <w:i/>
          <w:sz w:val="24"/>
        </w:rPr>
        <w:t>Figuur 8: Frequentiespectrum: Bert zegt ‘baas’.</w:t>
      </w:r>
    </w:p>
    <w:p>
      <w:pPr>
        <w:pStyle w:val="BodyText"/>
        <w:spacing w:before="4"/>
        <w:ind w:left="0"/>
        <w:rPr>
          <w:i/>
          <w:sz w:val="28"/>
        </w:rPr>
      </w:pPr>
    </w:p>
    <w:p>
      <w:pPr>
        <w:pStyle w:val="BodyText"/>
      </w:pPr>
      <w:r>
        <w:rPr/>
        <w:t>Gebruik figuur 8a in de uitwerkbijlage.</w:t>
      </w:r>
    </w:p>
    <w:p>
      <w:pPr>
        <w:pStyle w:val="BodyText"/>
        <w:tabs>
          <w:tab w:pos="508" w:val="left" w:leader="none"/>
          <w:tab w:pos="957" w:val="left" w:leader="none"/>
        </w:tabs>
        <w:spacing w:line="261" w:lineRule="auto" w:before="24"/>
        <w:ind w:right="157" w:hanging="852"/>
      </w:pPr>
      <w:r>
        <w:rPr>
          <w:sz w:val="16"/>
        </w:rPr>
        <w:t>2p</w:t>
        <w:tab/>
      </w:r>
      <w:r>
        <w:rPr>
          <w:b/>
          <w:sz w:val="20"/>
        </w:rPr>
        <w:t>14</w:t>
        <w:tab/>
      </w:r>
      <w:r>
        <w:rPr/>
        <w:t>Bepaal de formanten van de letter [a] in het woord “baas” zoals Bert dat woord uitspreekt.</w:t>
      </w:r>
    </w:p>
    <w:p>
      <w:pPr>
        <w:pStyle w:val="BodyText"/>
        <w:spacing w:before="11"/>
        <w:ind w:left="0"/>
        <w:rPr>
          <w:sz w:val="25"/>
        </w:rPr>
      </w:pPr>
    </w:p>
    <w:p>
      <w:pPr>
        <w:pStyle w:val="BodyText"/>
        <w:spacing w:line="261" w:lineRule="auto"/>
        <w:ind w:right="140" w:firstLine="8"/>
      </w:pPr>
      <w:r>
        <w:rPr/>
        <w:t>Gebruik figuur 8b en 8c in de uitwerkbijlage. Joyce is een jong meisje van acht jaar. Zij spreekt het woord “baas” uit bij een frequentie van 200 Hz.</w:t>
      </w:r>
    </w:p>
    <w:p>
      <w:pPr>
        <w:pStyle w:val="BodyText"/>
        <w:tabs>
          <w:tab w:pos="508" w:val="left" w:leader="none"/>
          <w:tab w:pos="957" w:val="left" w:leader="none"/>
        </w:tabs>
        <w:spacing w:line="261" w:lineRule="auto"/>
        <w:ind w:right="428" w:hanging="852"/>
      </w:pPr>
      <w:r>
        <w:rPr>
          <w:sz w:val="16"/>
        </w:rPr>
        <w:t>2p</w:t>
        <w:tab/>
      </w:r>
      <w:r>
        <w:rPr>
          <w:b/>
          <w:sz w:val="20"/>
        </w:rPr>
        <w:t>15</w:t>
        <w:tab/>
      </w:r>
      <w:r>
        <w:rPr/>
        <w:t>Teken het verwachte boventoonspectrum van de letter [a], zoals deze wordt uitgesproken door Joyce.</w:t>
      </w:r>
    </w:p>
    <w:p>
      <w:pPr>
        <w:spacing w:line="261" w:lineRule="auto" w:before="0"/>
        <w:ind w:left="957" w:right="1334" w:firstLine="0"/>
        <w:jc w:val="left"/>
        <w:rPr>
          <w:i/>
          <w:sz w:val="24"/>
        </w:rPr>
      </w:pPr>
      <w:r>
        <w:rPr>
          <w:i/>
          <w:sz w:val="24"/>
        </w:rPr>
        <w:t>Let op de maximale positie in verhouding tot de boventonen van de </w:t>
      </w:r>
      <w:r>
        <w:rPr>
          <w:i/>
          <w:sz w:val="24"/>
        </w:rPr>
        <w:t>frequenties.</w:t>
      </w:r>
    </w:p>
    <w:p>
      <w:pPr>
        <w:spacing w:after="0" w:line="261" w:lineRule="auto"/>
        <w:jc w:val="left"/>
        <w:rPr>
          <w:sz w:val="24"/>
        </w:rPr>
        <w:sectPr>
          <w:pgSz w:w="11910" w:h="16840"/>
          <w:pgMar w:header="0" w:footer="734" w:top="780" w:bottom="920" w:left="1140" w:right="1320"/>
        </w:sectPr>
      </w:pPr>
    </w:p>
    <w:p>
      <w:pPr>
        <w:pStyle w:val="BodyText"/>
        <w:spacing w:line="261" w:lineRule="auto" w:before="75"/>
        <w:ind w:right="174"/>
      </w:pPr>
      <w:r>
        <w:rPr/>
        <w:t>Via de licht gebogen gehoorgang bereikt het gesproken woord het binnenoor. De gehoorgang heeft een diameter van 6 – 8 mm en een lengte van rond de 30 mm, waardoor vooral de frequenties van de tweede en derde formant extra goed worden doorgegeven. Een dergelijke gehoorgang kan worden gemodelleerd als een halfopen cilindervormig buisje.</w:t>
      </w:r>
    </w:p>
    <w:p>
      <w:pPr>
        <w:pStyle w:val="BodyText"/>
        <w:tabs>
          <w:tab w:pos="508" w:val="left" w:leader="none"/>
          <w:tab w:pos="957" w:val="left" w:leader="none"/>
        </w:tabs>
        <w:spacing w:line="272" w:lineRule="exact"/>
        <w:ind w:left="105"/>
      </w:pPr>
      <w:r>
        <w:rPr>
          <w:sz w:val="16"/>
        </w:rPr>
        <w:t>3p</w:t>
        <w:tab/>
      </w:r>
      <w:r>
        <w:rPr>
          <w:b/>
          <w:sz w:val="20"/>
        </w:rPr>
        <w:t>16</w:t>
        <w:tab/>
      </w:r>
      <w:r>
        <w:rPr/>
        <w:t>Bereken de toonhoogte die optimaal resoneert in een gehoorgang van 32</w:t>
      </w:r>
      <w:r>
        <w:rPr>
          <w:spacing w:val="-10"/>
        </w:rPr>
        <w:t> </w:t>
      </w:r>
      <w:r>
        <w:rPr/>
        <w:t>mm.</w:t>
      </w:r>
    </w:p>
    <w:p>
      <w:pPr>
        <w:pStyle w:val="BodyText"/>
        <w:spacing w:before="2"/>
        <w:ind w:left="0"/>
        <w:rPr>
          <w:sz w:val="28"/>
        </w:rPr>
      </w:pPr>
    </w:p>
    <w:p>
      <w:pPr>
        <w:pStyle w:val="BodyText"/>
        <w:spacing w:line="261" w:lineRule="auto"/>
        <w:ind w:right="174"/>
      </w:pPr>
      <w:r>
        <w:rPr/>
        <w:t>Aan het basilair membraan van het binnenoor zijn trilhaarcellen verbonden die hun trilling doorgeven aan de gehoorzenuw. De trilhaarcellen vlakbij het ovale venster geven hoge frequenties door. Verder van het ovale venster af geven ze lage frequenties door.</w:t>
      </w:r>
    </w:p>
    <w:p>
      <w:pPr>
        <w:pStyle w:val="BodyText"/>
        <w:tabs>
          <w:tab w:pos="508" w:val="left" w:leader="none"/>
          <w:tab w:pos="957" w:val="left" w:leader="none"/>
        </w:tabs>
        <w:spacing w:line="261" w:lineRule="auto"/>
        <w:ind w:right="2084" w:hanging="852"/>
      </w:pPr>
      <w:r>
        <w:rPr>
          <w:sz w:val="16"/>
        </w:rPr>
        <w:t>2p</w:t>
        <w:tab/>
      </w:r>
      <w:r>
        <w:rPr>
          <w:b/>
          <w:sz w:val="20"/>
        </w:rPr>
        <w:t>17</w:t>
        <w:tab/>
      </w:r>
      <w:r>
        <w:rPr/>
        <w:t>Welke van de onderstaande verklaringen is daar vooral voor verantwoordelijk?</w:t>
      </w:r>
    </w:p>
    <w:p>
      <w:pPr>
        <w:pStyle w:val="ListParagraph"/>
        <w:numPr>
          <w:ilvl w:val="0"/>
          <w:numId w:val="4"/>
        </w:numPr>
        <w:tabs>
          <w:tab w:pos="1523" w:val="left" w:leader="none"/>
          <w:tab w:pos="1525" w:val="left" w:leader="none"/>
        </w:tabs>
        <w:spacing w:line="261" w:lineRule="auto" w:before="0" w:after="0"/>
        <w:ind w:left="1523" w:right="648" w:hanging="567"/>
        <w:jc w:val="left"/>
        <w:rPr>
          <w:sz w:val="24"/>
        </w:rPr>
      </w:pPr>
      <w:r>
        <w:rPr>
          <w:sz w:val="24"/>
        </w:rPr>
        <w:t>De omringende macula trilt trager naarmate die verder van het ovale venster</w:t>
      </w:r>
      <w:r>
        <w:rPr>
          <w:spacing w:val="-1"/>
          <w:sz w:val="24"/>
        </w:rPr>
        <w:t> </w:t>
      </w:r>
      <w:r>
        <w:rPr>
          <w:sz w:val="24"/>
        </w:rPr>
        <w:t>is.</w:t>
      </w:r>
    </w:p>
    <w:p>
      <w:pPr>
        <w:pStyle w:val="ListParagraph"/>
        <w:numPr>
          <w:ilvl w:val="0"/>
          <w:numId w:val="4"/>
        </w:numPr>
        <w:tabs>
          <w:tab w:pos="1523" w:val="left" w:leader="none"/>
          <w:tab w:pos="1525" w:val="left" w:leader="none"/>
        </w:tabs>
        <w:spacing w:line="261" w:lineRule="auto" w:before="0" w:after="0"/>
        <w:ind w:left="1523" w:right="569" w:hanging="567"/>
        <w:jc w:val="left"/>
        <w:rPr>
          <w:sz w:val="24"/>
        </w:rPr>
      </w:pPr>
      <w:r>
        <w:rPr>
          <w:sz w:val="24"/>
        </w:rPr>
        <w:t>Het basilair membraan is verder van het ovale venster en is daardoor minder stijf.</w:t>
      </w:r>
    </w:p>
    <w:p>
      <w:pPr>
        <w:pStyle w:val="ListParagraph"/>
        <w:numPr>
          <w:ilvl w:val="0"/>
          <w:numId w:val="4"/>
        </w:numPr>
        <w:tabs>
          <w:tab w:pos="1523" w:val="left" w:leader="none"/>
          <w:tab w:pos="1525" w:val="left" w:leader="none"/>
        </w:tabs>
        <w:spacing w:line="274" w:lineRule="exact" w:before="0" w:after="0"/>
        <w:ind w:left="1524" w:right="0" w:hanging="568"/>
        <w:jc w:val="left"/>
        <w:rPr>
          <w:sz w:val="24"/>
        </w:rPr>
      </w:pPr>
      <w:r>
        <w:rPr>
          <w:sz w:val="24"/>
        </w:rPr>
        <w:t>Laagfrequente trillingen dringen verder door in het</w:t>
      </w:r>
      <w:r>
        <w:rPr>
          <w:spacing w:val="2"/>
          <w:sz w:val="24"/>
        </w:rPr>
        <w:t> </w:t>
      </w:r>
      <w:r>
        <w:rPr>
          <w:sz w:val="24"/>
        </w:rPr>
        <w:t>slakkenhuis.</w:t>
      </w:r>
    </w:p>
    <w:p>
      <w:pPr>
        <w:pStyle w:val="ListParagraph"/>
        <w:numPr>
          <w:ilvl w:val="0"/>
          <w:numId w:val="4"/>
        </w:numPr>
        <w:tabs>
          <w:tab w:pos="1523" w:val="left" w:leader="none"/>
          <w:tab w:pos="1525" w:val="left" w:leader="none"/>
        </w:tabs>
        <w:spacing w:line="261" w:lineRule="auto" w:before="18" w:after="0"/>
        <w:ind w:left="1523" w:right="957" w:hanging="567"/>
        <w:jc w:val="left"/>
        <w:rPr>
          <w:sz w:val="24"/>
        </w:rPr>
      </w:pPr>
      <w:r>
        <w:rPr>
          <w:sz w:val="24"/>
        </w:rPr>
        <w:t>Vanaf het ovale venster worden de trilhaartjes steeds zwaarder in gewicht.</w:t>
      </w:r>
    </w:p>
    <w:p>
      <w:pPr>
        <w:pStyle w:val="BodyText"/>
        <w:ind w:left="0"/>
        <w:rPr>
          <w:sz w:val="26"/>
        </w:rPr>
      </w:pPr>
    </w:p>
    <w:p>
      <w:pPr>
        <w:pStyle w:val="BodyText"/>
        <w:ind w:left="0"/>
        <w:rPr>
          <w:sz w:val="26"/>
        </w:rPr>
      </w:pPr>
    </w:p>
    <w:p>
      <w:pPr>
        <w:pStyle w:val="Heading1"/>
      </w:pPr>
      <w:r>
        <w:rPr/>
        <w:t>Onvolledige DNA-profielen</w:t>
      </w:r>
    </w:p>
    <w:p>
      <w:pPr>
        <w:pStyle w:val="BodyText"/>
        <w:spacing w:before="2"/>
        <w:ind w:left="0"/>
        <w:rPr>
          <w:b/>
          <w:sz w:val="28"/>
        </w:rPr>
      </w:pPr>
    </w:p>
    <w:p>
      <w:pPr>
        <w:pStyle w:val="BodyText"/>
      </w:pPr>
      <w:r>
        <w:rPr/>
        <w:t>Bij deze opgave gebruik je op de uitwerkbijlage figuur 10.</w:t>
      </w:r>
    </w:p>
    <w:p>
      <w:pPr>
        <w:pStyle w:val="BodyText"/>
        <w:spacing w:line="261" w:lineRule="auto" w:before="24"/>
        <w:ind w:right="159"/>
      </w:pPr>
      <w:r>
        <w:rPr/>
        <w:t>Het Nederlands Forensisch Instituut (NFI) is begin 2021 begonnen met het opnieuw vergelijken van DNA-sporen van onopgeloste zaken met de landelijke DNA-database. Deze DNA-sporen bestaan uit onvolledige of mengprofielen. Een onvolledig DNA-profiel krijgt het NFI bijvoorbeeld als er niet voldoende DNA-sporen worden gevonden, of als de sporen beschadigd of verontreinigd</w:t>
      </w:r>
      <w:r>
        <w:rPr>
          <w:spacing w:val="-1"/>
        </w:rPr>
        <w:t> </w:t>
      </w:r>
      <w:r>
        <w:rPr/>
        <w:t>zijn.</w:t>
      </w:r>
    </w:p>
    <w:p>
      <w:pPr>
        <w:pStyle w:val="BodyText"/>
        <w:spacing w:line="261" w:lineRule="auto"/>
        <w:ind w:right="161"/>
      </w:pPr>
      <w:r>
        <w:rPr/>
        <w:t>In tegenstelling tot volledige DNA-profielen worden onvolledige DNA-profielen niet opgenomen in de DNA-database. Voor 2021 werden de onvolledige DNA- profielen handmatig vergeleken met DNA-profielen uit de database. Dankzij nieuwe software kan het NFI dit vanaf 2021 automatiseren.</w:t>
      </w:r>
    </w:p>
    <w:p>
      <w:pPr>
        <w:pStyle w:val="BodyText"/>
        <w:spacing w:line="273" w:lineRule="exact"/>
      </w:pPr>
      <w:r>
        <w:rPr/>
        <w:t>Gebruik figuur 9 op de volgende pagina.</w:t>
      </w:r>
    </w:p>
    <w:p>
      <w:pPr>
        <w:pStyle w:val="BodyText"/>
        <w:tabs>
          <w:tab w:pos="508" w:val="left" w:leader="none"/>
          <w:tab w:pos="957" w:val="left" w:leader="none"/>
        </w:tabs>
        <w:spacing w:line="261" w:lineRule="auto" w:before="20"/>
        <w:ind w:right="203" w:hanging="852"/>
      </w:pPr>
      <w:r>
        <w:rPr>
          <w:sz w:val="16"/>
        </w:rPr>
        <w:t>2p</w:t>
        <w:tab/>
      </w:r>
      <w:r>
        <w:rPr>
          <w:b/>
          <w:sz w:val="20"/>
        </w:rPr>
        <w:t>18</w:t>
        <w:tab/>
      </w:r>
      <w:r>
        <w:rPr/>
        <w:t>Leg uit waarom de bewijswaarde van een onvolledig DNA-profiel minder groot is dan van een volwaardig DNA-profiel.</w:t>
      </w:r>
    </w:p>
    <w:p>
      <w:pPr>
        <w:spacing w:after="0" w:line="261" w:lineRule="auto"/>
        <w:sectPr>
          <w:footerReference w:type="default" r:id="rId14"/>
          <w:pgSz w:w="11910" w:h="16840"/>
          <w:pgMar w:footer="734" w:header="0" w:top="780" w:bottom="920" w:left="1140" w:right="1320"/>
          <w:pgNumType w:start="10"/>
        </w:sectPr>
      </w:pPr>
    </w:p>
    <w:p>
      <w:pPr>
        <w:pStyle w:val="BodyText"/>
        <w:ind w:left="952"/>
        <w:rPr>
          <w:sz w:val="20"/>
        </w:rPr>
      </w:pPr>
      <w:r>
        <w:rPr>
          <w:sz w:val="20"/>
        </w:rPr>
        <w:drawing>
          <wp:inline distT="0" distB="0" distL="0" distR="0">
            <wp:extent cx="3675421" cy="8677656"/>
            <wp:effectExtent l="0" t="0" r="0" b="0"/>
            <wp:docPr id="17" name="image9.png"/>
            <wp:cNvGraphicFramePr>
              <a:graphicFrameLocks noChangeAspect="1"/>
            </wp:cNvGraphicFramePr>
            <a:graphic>
              <a:graphicData uri="http://schemas.openxmlformats.org/drawingml/2006/picture">
                <pic:pic>
                  <pic:nvPicPr>
                    <pic:cNvPr id="18" name="image9.png"/>
                    <pic:cNvPicPr/>
                  </pic:nvPicPr>
                  <pic:blipFill>
                    <a:blip r:embed="rId15" cstate="print"/>
                    <a:stretch>
                      <a:fillRect/>
                    </a:stretch>
                  </pic:blipFill>
                  <pic:spPr>
                    <a:xfrm>
                      <a:off x="0" y="0"/>
                      <a:ext cx="3675421" cy="8677656"/>
                    </a:xfrm>
                    <a:prstGeom prst="rect">
                      <a:avLst/>
                    </a:prstGeom>
                  </pic:spPr>
                </pic:pic>
              </a:graphicData>
            </a:graphic>
          </wp:inline>
        </w:drawing>
      </w:r>
      <w:r>
        <w:rPr>
          <w:sz w:val="20"/>
        </w:rPr>
      </w:r>
    </w:p>
    <w:p>
      <w:pPr>
        <w:spacing w:before="16"/>
        <w:ind w:left="957" w:right="0" w:firstLine="0"/>
        <w:jc w:val="left"/>
        <w:rPr>
          <w:i/>
          <w:sz w:val="24"/>
        </w:rPr>
      </w:pPr>
      <w:r>
        <w:rPr>
          <w:i/>
          <w:sz w:val="24"/>
        </w:rPr>
        <w:t>Figuur 9: Onvolledig DNA-profiel (voor data van het profiel zie figuur 10)</w:t>
      </w:r>
    </w:p>
    <w:p>
      <w:pPr>
        <w:spacing w:after="0"/>
        <w:jc w:val="left"/>
        <w:rPr>
          <w:sz w:val="24"/>
        </w:rPr>
        <w:sectPr>
          <w:pgSz w:w="11910" w:h="16840"/>
          <w:pgMar w:header="0" w:footer="734" w:top="820" w:bottom="920" w:left="1140" w:right="1320"/>
        </w:sectPr>
      </w:pPr>
    </w:p>
    <w:p>
      <w:pPr>
        <w:pStyle w:val="BodyText"/>
        <w:spacing w:before="75"/>
      </w:pPr>
      <w:r>
        <w:rPr/>
        <w:t>In het DNA-profiel wordt de locus en het DNA-kenmerk weergegeven.</w:t>
      </w:r>
    </w:p>
    <w:p>
      <w:pPr>
        <w:pStyle w:val="BodyText"/>
        <w:tabs>
          <w:tab w:pos="508" w:val="left" w:leader="none"/>
          <w:tab w:pos="957" w:val="left" w:leader="none"/>
        </w:tabs>
        <w:spacing w:before="24"/>
        <w:ind w:left="105"/>
      </w:pPr>
      <w:r>
        <w:rPr>
          <w:sz w:val="16"/>
        </w:rPr>
        <w:t>2p</w:t>
        <w:tab/>
      </w:r>
      <w:r>
        <w:rPr>
          <w:b/>
          <w:sz w:val="20"/>
        </w:rPr>
        <w:t>19</w:t>
        <w:tab/>
      </w:r>
      <w:r>
        <w:rPr/>
        <w:t>Wat is de betekenis van de locus en het</w:t>
      </w:r>
      <w:r>
        <w:rPr>
          <w:spacing w:val="-3"/>
        </w:rPr>
        <w:t> </w:t>
      </w:r>
      <w:r>
        <w:rPr/>
        <w:t>DNA-kenmerk?</w:t>
      </w:r>
    </w:p>
    <w:p>
      <w:pPr>
        <w:pStyle w:val="BodyText"/>
        <w:spacing w:before="24"/>
        <w:ind w:left="974"/>
      </w:pPr>
      <w:r>
        <w:rPr/>
        <w:t>Noteer je antwoord als volgt:</w:t>
      </w:r>
    </w:p>
    <w:p>
      <w:pPr>
        <w:pStyle w:val="BodyText"/>
        <w:tabs>
          <w:tab w:pos="2533" w:val="left" w:leader="none"/>
        </w:tabs>
        <w:spacing w:before="24"/>
      </w:pPr>
      <w:r>
        <w:rPr/>
        <w:t>Locus</w:t>
        <w:tab/>
        <w:t>=</w:t>
      </w:r>
      <w:r>
        <w:rPr>
          <w:spacing w:val="-2"/>
        </w:rPr>
        <w:t> </w:t>
      </w:r>
      <w:r>
        <w:rPr/>
        <w:t>………….</w:t>
      </w:r>
    </w:p>
    <w:p>
      <w:pPr>
        <w:pStyle w:val="BodyText"/>
        <w:spacing w:before="24"/>
      </w:pPr>
      <w:r>
        <w:rPr/>
        <w:t>DNA-kenmerk =</w:t>
      </w:r>
      <w:r>
        <w:rPr>
          <w:spacing w:val="-1"/>
        </w:rPr>
        <w:t> </w:t>
      </w:r>
      <w:r>
        <w:rPr/>
        <w:t>………….</w:t>
      </w:r>
    </w:p>
    <w:p>
      <w:pPr>
        <w:pStyle w:val="BodyText"/>
        <w:spacing w:before="2"/>
        <w:ind w:left="0"/>
        <w:rPr>
          <w:sz w:val="28"/>
        </w:rPr>
      </w:pPr>
    </w:p>
    <w:p>
      <w:pPr>
        <w:pStyle w:val="BodyText"/>
        <w:tabs>
          <w:tab w:pos="508" w:val="left" w:leader="none"/>
          <w:tab w:pos="957" w:val="left" w:leader="none"/>
        </w:tabs>
        <w:spacing w:line="261" w:lineRule="auto" w:before="1"/>
        <w:ind w:right="467" w:hanging="852"/>
      </w:pPr>
      <w:r>
        <w:rPr>
          <w:sz w:val="16"/>
        </w:rPr>
        <w:t>2p</w:t>
        <w:tab/>
      </w:r>
      <w:r>
        <w:rPr>
          <w:b/>
          <w:sz w:val="20"/>
        </w:rPr>
        <w:t>20</w:t>
        <w:tab/>
      </w:r>
      <w:r>
        <w:rPr/>
        <w:t>Leg uit waarom er bij sommige loci één piek te zien is (loci is meervoud van locus).</w:t>
      </w:r>
    </w:p>
    <w:p>
      <w:pPr>
        <w:pStyle w:val="BodyText"/>
        <w:ind w:left="0"/>
      </w:pPr>
    </w:p>
    <w:tbl>
      <w:tblPr>
        <w:tblW w:w="0" w:type="auto"/>
        <w:jc w:val="left"/>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4"/>
        <w:gridCol w:w="1844"/>
        <w:gridCol w:w="3826"/>
      </w:tblGrid>
      <w:tr>
        <w:trPr>
          <w:trHeight w:val="299" w:hRule="atLeast"/>
        </w:trPr>
        <w:tc>
          <w:tcPr>
            <w:tcW w:w="1414" w:type="dxa"/>
          </w:tcPr>
          <w:p>
            <w:pPr>
              <w:pStyle w:val="TableParagraph"/>
              <w:spacing w:line="258" w:lineRule="exact" w:before="22"/>
              <w:ind w:left="107"/>
              <w:rPr>
                <w:rFonts w:ascii="Arial"/>
                <w:b/>
                <w:sz w:val="24"/>
              </w:rPr>
            </w:pPr>
            <w:r>
              <w:rPr>
                <w:rFonts w:ascii="Arial"/>
                <w:b/>
                <w:sz w:val="24"/>
              </w:rPr>
              <w:t>Locus</w:t>
            </w:r>
          </w:p>
        </w:tc>
        <w:tc>
          <w:tcPr>
            <w:tcW w:w="1844" w:type="dxa"/>
          </w:tcPr>
          <w:p>
            <w:pPr>
              <w:pStyle w:val="TableParagraph"/>
              <w:spacing w:line="258" w:lineRule="exact" w:before="22"/>
              <w:ind w:left="108"/>
              <w:rPr>
                <w:rFonts w:ascii="Arial"/>
                <w:b/>
                <w:sz w:val="24"/>
              </w:rPr>
            </w:pPr>
            <w:r>
              <w:rPr>
                <w:rFonts w:ascii="Arial"/>
                <w:b/>
                <w:sz w:val="24"/>
              </w:rPr>
              <w:t>DNA-kenmerk</w:t>
            </w:r>
          </w:p>
        </w:tc>
        <w:tc>
          <w:tcPr>
            <w:tcW w:w="3826" w:type="dxa"/>
          </w:tcPr>
          <w:p>
            <w:pPr>
              <w:pStyle w:val="TableParagraph"/>
              <w:spacing w:line="258" w:lineRule="exact" w:before="22"/>
              <w:ind w:left="105"/>
              <w:rPr>
                <w:rFonts w:ascii="Arial"/>
                <w:b/>
                <w:sz w:val="24"/>
              </w:rPr>
            </w:pPr>
            <w:r>
              <w:rPr>
                <w:rFonts w:ascii="Arial"/>
                <w:b/>
                <w:sz w:val="24"/>
              </w:rPr>
              <w:t>Frequentie</w:t>
            </w:r>
          </w:p>
        </w:tc>
      </w:tr>
      <w:tr>
        <w:trPr>
          <w:trHeight w:val="299" w:hRule="atLeast"/>
        </w:trPr>
        <w:tc>
          <w:tcPr>
            <w:tcW w:w="1414" w:type="dxa"/>
          </w:tcPr>
          <w:p>
            <w:pPr>
              <w:pStyle w:val="TableParagraph"/>
              <w:spacing w:line="258" w:lineRule="exact" w:before="22"/>
              <w:ind w:left="107"/>
              <w:rPr>
                <w:rFonts w:ascii="Arial"/>
                <w:sz w:val="24"/>
              </w:rPr>
            </w:pPr>
            <w:r>
              <w:rPr>
                <w:rFonts w:ascii="Arial"/>
                <w:sz w:val="24"/>
              </w:rPr>
              <w:t>D3S1358</w:t>
            </w:r>
          </w:p>
        </w:tc>
        <w:tc>
          <w:tcPr>
            <w:tcW w:w="1844" w:type="dxa"/>
          </w:tcPr>
          <w:p>
            <w:pPr>
              <w:pStyle w:val="TableParagraph"/>
              <w:spacing w:line="258" w:lineRule="exact" w:before="22"/>
              <w:ind w:left="107"/>
              <w:rPr>
                <w:rFonts w:ascii="Arial"/>
                <w:sz w:val="24"/>
              </w:rPr>
            </w:pPr>
            <w:r>
              <w:rPr>
                <w:rFonts w:ascii="Arial"/>
                <w:sz w:val="24"/>
              </w:rPr>
              <w:t>17</w:t>
            </w:r>
          </w:p>
        </w:tc>
        <w:tc>
          <w:tcPr>
            <w:tcW w:w="3826" w:type="dxa"/>
          </w:tcPr>
          <w:p>
            <w:pPr>
              <w:pStyle w:val="TableParagraph"/>
              <w:spacing w:line="240" w:lineRule="auto"/>
              <w:ind w:left="0"/>
              <w:rPr>
                <w:rFonts w:ascii="Times New Roman"/>
                <w:sz w:val="22"/>
              </w:rPr>
            </w:pPr>
          </w:p>
        </w:tc>
      </w:tr>
      <w:tr>
        <w:trPr>
          <w:trHeight w:val="299" w:hRule="atLeast"/>
        </w:trPr>
        <w:tc>
          <w:tcPr>
            <w:tcW w:w="1414" w:type="dxa"/>
          </w:tcPr>
          <w:p>
            <w:pPr>
              <w:pStyle w:val="TableParagraph"/>
              <w:spacing w:line="258" w:lineRule="exact" w:before="22"/>
              <w:ind w:left="107"/>
              <w:rPr>
                <w:rFonts w:ascii="Arial"/>
                <w:sz w:val="24"/>
              </w:rPr>
            </w:pPr>
            <w:r>
              <w:rPr>
                <w:rFonts w:ascii="Arial"/>
                <w:sz w:val="24"/>
              </w:rPr>
              <w:t>VWA</w:t>
            </w:r>
          </w:p>
        </w:tc>
        <w:tc>
          <w:tcPr>
            <w:tcW w:w="1844" w:type="dxa"/>
          </w:tcPr>
          <w:p>
            <w:pPr>
              <w:pStyle w:val="TableParagraph"/>
              <w:spacing w:line="258" w:lineRule="exact" w:before="22"/>
              <w:ind w:left="107"/>
              <w:rPr>
                <w:rFonts w:ascii="Arial"/>
                <w:sz w:val="24"/>
              </w:rPr>
            </w:pPr>
            <w:r>
              <w:rPr>
                <w:rFonts w:ascii="Arial"/>
                <w:sz w:val="24"/>
              </w:rPr>
              <w:t>16/17</w:t>
            </w:r>
          </w:p>
        </w:tc>
        <w:tc>
          <w:tcPr>
            <w:tcW w:w="3826" w:type="dxa"/>
          </w:tcPr>
          <w:p>
            <w:pPr>
              <w:pStyle w:val="TableParagraph"/>
              <w:spacing w:line="240" w:lineRule="auto"/>
              <w:ind w:left="0"/>
              <w:rPr>
                <w:rFonts w:ascii="Times New Roman"/>
                <w:sz w:val="22"/>
              </w:rPr>
            </w:pPr>
          </w:p>
        </w:tc>
      </w:tr>
      <w:tr>
        <w:trPr>
          <w:trHeight w:val="299" w:hRule="atLeast"/>
        </w:trPr>
        <w:tc>
          <w:tcPr>
            <w:tcW w:w="1414" w:type="dxa"/>
          </w:tcPr>
          <w:p>
            <w:pPr>
              <w:pStyle w:val="TableParagraph"/>
              <w:spacing w:line="258" w:lineRule="exact" w:before="22"/>
              <w:ind w:left="107"/>
              <w:rPr>
                <w:rFonts w:ascii="Arial"/>
                <w:sz w:val="24"/>
              </w:rPr>
            </w:pPr>
            <w:r>
              <w:rPr>
                <w:rFonts w:ascii="Arial"/>
                <w:sz w:val="24"/>
              </w:rPr>
              <w:t>D16S539</w:t>
            </w:r>
          </w:p>
        </w:tc>
        <w:tc>
          <w:tcPr>
            <w:tcW w:w="1844" w:type="dxa"/>
          </w:tcPr>
          <w:p>
            <w:pPr>
              <w:pStyle w:val="TableParagraph"/>
              <w:spacing w:line="258" w:lineRule="exact" w:before="22"/>
              <w:ind w:left="107"/>
              <w:rPr>
                <w:rFonts w:ascii="Arial"/>
                <w:sz w:val="24"/>
              </w:rPr>
            </w:pPr>
            <w:r>
              <w:rPr>
                <w:rFonts w:ascii="Arial"/>
                <w:sz w:val="24"/>
              </w:rPr>
              <w:t>9/13</w:t>
            </w:r>
          </w:p>
        </w:tc>
        <w:tc>
          <w:tcPr>
            <w:tcW w:w="3826" w:type="dxa"/>
          </w:tcPr>
          <w:p>
            <w:pPr>
              <w:pStyle w:val="TableParagraph"/>
              <w:spacing w:line="240" w:lineRule="auto"/>
              <w:ind w:left="0"/>
              <w:rPr>
                <w:rFonts w:ascii="Times New Roman"/>
                <w:sz w:val="22"/>
              </w:rPr>
            </w:pPr>
          </w:p>
        </w:tc>
      </w:tr>
      <w:tr>
        <w:trPr>
          <w:trHeight w:val="299" w:hRule="atLeast"/>
        </w:trPr>
        <w:tc>
          <w:tcPr>
            <w:tcW w:w="1414" w:type="dxa"/>
          </w:tcPr>
          <w:p>
            <w:pPr>
              <w:pStyle w:val="TableParagraph"/>
              <w:spacing w:line="258" w:lineRule="exact" w:before="22"/>
              <w:ind w:left="107"/>
              <w:rPr>
                <w:rFonts w:ascii="Arial"/>
                <w:sz w:val="24"/>
              </w:rPr>
            </w:pPr>
            <w:r>
              <w:rPr>
                <w:rFonts w:ascii="Arial"/>
                <w:sz w:val="24"/>
              </w:rPr>
              <w:t>AMEL</w:t>
            </w:r>
          </w:p>
        </w:tc>
        <w:tc>
          <w:tcPr>
            <w:tcW w:w="1844" w:type="dxa"/>
          </w:tcPr>
          <w:p>
            <w:pPr>
              <w:pStyle w:val="TableParagraph"/>
              <w:spacing w:line="258" w:lineRule="exact" w:before="22"/>
              <w:ind w:left="106"/>
              <w:rPr>
                <w:rFonts w:ascii="Arial"/>
                <w:sz w:val="24"/>
              </w:rPr>
            </w:pPr>
            <w:r>
              <w:rPr>
                <w:rFonts w:ascii="Arial"/>
                <w:sz w:val="24"/>
              </w:rPr>
              <w:t>X</w:t>
            </w:r>
          </w:p>
        </w:tc>
        <w:tc>
          <w:tcPr>
            <w:tcW w:w="3826" w:type="dxa"/>
          </w:tcPr>
          <w:p>
            <w:pPr>
              <w:pStyle w:val="TableParagraph"/>
              <w:spacing w:line="240" w:lineRule="auto"/>
              <w:ind w:left="0"/>
              <w:rPr>
                <w:rFonts w:ascii="Times New Roman"/>
                <w:sz w:val="22"/>
              </w:rPr>
            </w:pPr>
          </w:p>
        </w:tc>
      </w:tr>
      <w:tr>
        <w:trPr>
          <w:trHeight w:val="302" w:hRule="atLeast"/>
        </w:trPr>
        <w:tc>
          <w:tcPr>
            <w:tcW w:w="1414" w:type="dxa"/>
          </w:tcPr>
          <w:p>
            <w:pPr>
              <w:pStyle w:val="TableParagraph"/>
              <w:spacing w:line="258" w:lineRule="exact" w:before="24"/>
              <w:ind w:left="107"/>
              <w:rPr>
                <w:rFonts w:ascii="Arial"/>
                <w:sz w:val="24"/>
              </w:rPr>
            </w:pPr>
            <w:r>
              <w:rPr>
                <w:rFonts w:ascii="Arial"/>
                <w:sz w:val="24"/>
              </w:rPr>
              <w:t>D8S1179</w:t>
            </w:r>
          </w:p>
        </w:tc>
        <w:tc>
          <w:tcPr>
            <w:tcW w:w="1844" w:type="dxa"/>
          </w:tcPr>
          <w:p>
            <w:pPr>
              <w:pStyle w:val="TableParagraph"/>
              <w:spacing w:line="258" w:lineRule="exact" w:before="24"/>
              <w:ind w:left="107"/>
              <w:rPr>
                <w:rFonts w:ascii="Arial"/>
                <w:sz w:val="24"/>
              </w:rPr>
            </w:pPr>
            <w:r>
              <w:rPr>
                <w:rFonts w:ascii="Arial"/>
                <w:sz w:val="24"/>
              </w:rPr>
              <w:t>13</w:t>
            </w:r>
          </w:p>
        </w:tc>
        <w:tc>
          <w:tcPr>
            <w:tcW w:w="3826" w:type="dxa"/>
          </w:tcPr>
          <w:p>
            <w:pPr>
              <w:pStyle w:val="TableParagraph"/>
              <w:spacing w:line="240" w:lineRule="auto"/>
              <w:ind w:left="0"/>
              <w:rPr>
                <w:rFonts w:ascii="Times New Roman"/>
                <w:sz w:val="22"/>
              </w:rPr>
            </w:pPr>
          </w:p>
        </w:tc>
      </w:tr>
      <w:tr>
        <w:trPr>
          <w:trHeight w:val="299" w:hRule="atLeast"/>
        </w:trPr>
        <w:tc>
          <w:tcPr>
            <w:tcW w:w="1414" w:type="dxa"/>
          </w:tcPr>
          <w:p>
            <w:pPr>
              <w:pStyle w:val="TableParagraph"/>
              <w:spacing w:line="258" w:lineRule="exact" w:before="22"/>
              <w:ind w:left="107"/>
              <w:rPr>
                <w:rFonts w:ascii="Arial"/>
                <w:sz w:val="24"/>
              </w:rPr>
            </w:pPr>
            <w:r>
              <w:rPr>
                <w:rFonts w:ascii="Arial"/>
                <w:sz w:val="24"/>
              </w:rPr>
              <w:t>D21S11</w:t>
            </w:r>
          </w:p>
        </w:tc>
        <w:tc>
          <w:tcPr>
            <w:tcW w:w="1844" w:type="dxa"/>
          </w:tcPr>
          <w:p>
            <w:pPr>
              <w:pStyle w:val="TableParagraph"/>
              <w:spacing w:line="258" w:lineRule="exact" w:before="22"/>
              <w:ind w:left="108"/>
              <w:rPr>
                <w:rFonts w:ascii="Arial"/>
                <w:sz w:val="24"/>
              </w:rPr>
            </w:pPr>
            <w:r>
              <w:rPr>
                <w:rFonts w:ascii="Arial"/>
                <w:sz w:val="24"/>
              </w:rPr>
              <w:t>30/31</w:t>
            </w:r>
          </w:p>
        </w:tc>
        <w:tc>
          <w:tcPr>
            <w:tcW w:w="3826" w:type="dxa"/>
          </w:tcPr>
          <w:p>
            <w:pPr>
              <w:pStyle w:val="TableParagraph"/>
              <w:spacing w:line="240" w:lineRule="auto"/>
              <w:ind w:left="0"/>
              <w:rPr>
                <w:rFonts w:ascii="Times New Roman"/>
                <w:sz w:val="22"/>
              </w:rPr>
            </w:pPr>
          </w:p>
        </w:tc>
      </w:tr>
      <w:tr>
        <w:trPr>
          <w:trHeight w:val="299" w:hRule="atLeast"/>
        </w:trPr>
        <w:tc>
          <w:tcPr>
            <w:tcW w:w="1414" w:type="dxa"/>
          </w:tcPr>
          <w:p>
            <w:pPr>
              <w:pStyle w:val="TableParagraph"/>
              <w:spacing w:line="258" w:lineRule="exact" w:before="22"/>
              <w:ind w:left="107"/>
              <w:rPr>
                <w:rFonts w:ascii="Arial"/>
                <w:sz w:val="24"/>
              </w:rPr>
            </w:pPr>
            <w:r>
              <w:rPr>
                <w:rFonts w:ascii="Arial"/>
                <w:sz w:val="24"/>
              </w:rPr>
              <w:t>D18S51</w:t>
            </w:r>
          </w:p>
        </w:tc>
        <w:tc>
          <w:tcPr>
            <w:tcW w:w="1844" w:type="dxa"/>
          </w:tcPr>
          <w:p>
            <w:pPr>
              <w:pStyle w:val="TableParagraph"/>
              <w:spacing w:line="258" w:lineRule="exact" w:before="22"/>
              <w:ind w:left="108"/>
              <w:rPr>
                <w:rFonts w:ascii="Arial"/>
                <w:sz w:val="24"/>
              </w:rPr>
            </w:pPr>
            <w:r>
              <w:rPr>
                <w:rFonts w:ascii="Arial"/>
                <w:sz w:val="24"/>
              </w:rPr>
              <w:t>12/15</w:t>
            </w:r>
          </w:p>
        </w:tc>
        <w:tc>
          <w:tcPr>
            <w:tcW w:w="3826" w:type="dxa"/>
          </w:tcPr>
          <w:p>
            <w:pPr>
              <w:pStyle w:val="TableParagraph"/>
              <w:spacing w:line="240" w:lineRule="auto"/>
              <w:ind w:left="0"/>
              <w:rPr>
                <w:rFonts w:ascii="Times New Roman"/>
                <w:sz w:val="22"/>
              </w:rPr>
            </w:pPr>
          </w:p>
        </w:tc>
      </w:tr>
      <w:tr>
        <w:trPr>
          <w:trHeight w:val="299" w:hRule="atLeast"/>
        </w:trPr>
        <w:tc>
          <w:tcPr>
            <w:tcW w:w="1414" w:type="dxa"/>
          </w:tcPr>
          <w:p>
            <w:pPr>
              <w:pStyle w:val="TableParagraph"/>
              <w:spacing w:line="258" w:lineRule="exact" w:before="22"/>
              <w:ind w:left="107"/>
              <w:rPr>
                <w:rFonts w:ascii="Arial"/>
                <w:sz w:val="24"/>
              </w:rPr>
            </w:pPr>
            <w:r>
              <w:rPr>
                <w:rFonts w:ascii="Arial"/>
                <w:sz w:val="24"/>
              </w:rPr>
              <w:t>D19S433</w:t>
            </w:r>
          </w:p>
        </w:tc>
        <w:tc>
          <w:tcPr>
            <w:tcW w:w="1844" w:type="dxa"/>
          </w:tcPr>
          <w:p>
            <w:pPr>
              <w:pStyle w:val="TableParagraph"/>
              <w:spacing w:line="258" w:lineRule="exact" w:before="22"/>
              <w:ind w:left="107"/>
              <w:rPr>
                <w:rFonts w:ascii="Arial"/>
                <w:sz w:val="24"/>
              </w:rPr>
            </w:pPr>
            <w:r>
              <w:rPr>
                <w:rFonts w:ascii="Arial"/>
                <w:sz w:val="24"/>
              </w:rPr>
              <w:t>13/14</w:t>
            </w:r>
          </w:p>
        </w:tc>
        <w:tc>
          <w:tcPr>
            <w:tcW w:w="3826" w:type="dxa"/>
          </w:tcPr>
          <w:p>
            <w:pPr>
              <w:pStyle w:val="TableParagraph"/>
              <w:spacing w:line="240" w:lineRule="auto"/>
              <w:ind w:left="0"/>
              <w:rPr>
                <w:rFonts w:ascii="Times New Roman"/>
                <w:sz w:val="22"/>
              </w:rPr>
            </w:pPr>
          </w:p>
        </w:tc>
      </w:tr>
    </w:tbl>
    <w:p>
      <w:pPr>
        <w:spacing w:line="261" w:lineRule="auto" w:before="19"/>
        <w:ind w:left="957" w:right="1358" w:firstLine="0"/>
        <w:jc w:val="left"/>
        <w:rPr>
          <w:i/>
          <w:sz w:val="24"/>
        </w:rPr>
      </w:pPr>
      <w:r>
        <w:rPr>
          <w:i/>
          <w:sz w:val="24"/>
        </w:rPr>
        <w:t>Figuur 10: Tabel met loci en bijbehorende DNA-kenmerken van het </w:t>
      </w:r>
      <w:r>
        <w:rPr>
          <w:i/>
          <w:sz w:val="24"/>
        </w:rPr>
        <w:t>DNA-profiel uit figuur 9.</w:t>
      </w:r>
    </w:p>
    <w:p>
      <w:pPr>
        <w:pStyle w:val="BodyText"/>
        <w:spacing w:before="2"/>
        <w:ind w:left="0"/>
        <w:rPr>
          <w:i/>
          <w:sz w:val="26"/>
        </w:rPr>
      </w:pPr>
    </w:p>
    <w:p>
      <w:pPr>
        <w:pStyle w:val="BodyText"/>
        <w:spacing w:line="261" w:lineRule="auto"/>
        <w:ind w:right="587"/>
      </w:pPr>
      <w:r>
        <w:rPr/>
        <w:t>Het DNA-profiel van een persoon verschilt op één locus met het gevonden DNA-profiel in figuur 9.</w:t>
      </w:r>
    </w:p>
    <w:p>
      <w:pPr>
        <w:pStyle w:val="BodyText"/>
        <w:tabs>
          <w:tab w:pos="508" w:val="left" w:leader="none"/>
          <w:tab w:pos="957" w:val="left" w:leader="none"/>
        </w:tabs>
        <w:spacing w:line="261" w:lineRule="auto"/>
        <w:ind w:right="598" w:hanging="852"/>
      </w:pPr>
      <w:r>
        <w:rPr>
          <w:sz w:val="16"/>
        </w:rPr>
        <w:t>2p</w:t>
        <w:tab/>
      </w:r>
      <w:r>
        <w:rPr>
          <w:b/>
          <w:sz w:val="20"/>
        </w:rPr>
        <w:t>21</w:t>
        <w:tab/>
      </w:r>
      <w:r>
        <w:rPr/>
        <w:t>Leg uit of je aan de hand van dit gegeven wel of niet kunt uitsluiten dat het gevonden DNA van deze persoon</w:t>
      </w:r>
      <w:r>
        <w:rPr>
          <w:spacing w:val="2"/>
        </w:rPr>
        <w:t> </w:t>
      </w:r>
      <w:r>
        <w:rPr/>
        <w:t>is.</w:t>
      </w:r>
    </w:p>
    <w:p>
      <w:pPr>
        <w:pStyle w:val="BodyText"/>
        <w:spacing w:before="9"/>
        <w:ind w:left="0"/>
        <w:rPr>
          <w:sz w:val="25"/>
        </w:rPr>
      </w:pPr>
    </w:p>
    <w:p>
      <w:pPr>
        <w:pStyle w:val="BodyText"/>
        <w:spacing w:line="261" w:lineRule="auto"/>
        <w:ind w:right="440"/>
      </w:pPr>
      <w:r>
        <w:rPr/>
        <w:t>Gebruik figuur 10 en de figuren 11 en 12 (volgende pagina). Figuur 10 staat ook in de uitwerkbijlage.</w:t>
      </w:r>
    </w:p>
    <w:p>
      <w:pPr>
        <w:pStyle w:val="BodyText"/>
        <w:tabs>
          <w:tab w:pos="508" w:val="left" w:leader="none"/>
          <w:tab w:pos="957" w:val="left" w:leader="none"/>
        </w:tabs>
        <w:spacing w:line="261" w:lineRule="auto"/>
        <w:ind w:right="910" w:hanging="852"/>
      </w:pPr>
      <w:r>
        <w:rPr>
          <w:sz w:val="16"/>
        </w:rPr>
        <w:t>4p</w:t>
        <w:tab/>
      </w:r>
      <w:r>
        <w:rPr>
          <w:b/>
          <w:sz w:val="20"/>
        </w:rPr>
        <w:t>22</w:t>
        <w:tab/>
      </w:r>
      <w:r>
        <w:rPr/>
        <w:t>Bereken in de uitwerkbijlage de kans in % dat het DNA-profiel van twee willekeurige personen beide gelijk zijn aan het profiel in figuur</w:t>
      </w:r>
      <w:r>
        <w:rPr>
          <w:spacing w:val="-11"/>
        </w:rPr>
        <w:t> </w:t>
      </w:r>
      <w:r>
        <w:rPr/>
        <w:t>9.</w:t>
      </w:r>
    </w:p>
    <w:p>
      <w:pPr>
        <w:spacing w:after="0" w:line="261" w:lineRule="auto"/>
        <w:sectPr>
          <w:pgSz w:w="11910" w:h="16840"/>
          <w:pgMar w:header="0" w:footer="734" w:top="780" w:bottom="920" w:left="1140" w:right="1320"/>
        </w:sectPr>
      </w:pPr>
    </w:p>
    <w:tbl>
      <w:tblPr>
        <w:tblW w:w="0" w:type="auto"/>
        <w:jc w:val="left"/>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4"/>
        <w:gridCol w:w="900"/>
        <w:gridCol w:w="900"/>
        <w:gridCol w:w="900"/>
        <w:gridCol w:w="720"/>
        <w:gridCol w:w="1080"/>
        <w:gridCol w:w="900"/>
        <w:gridCol w:w="900"/>
        <w:gridCol w:w="720"/>
        <w:gridCol w:w="900"/>
      </w:tblGrid>
      <w:tr>
        <w:trPr>
          <w:trHeight w:val="313" w:hRule="atLeast"/>
        </w:trPr>
        <w:tc>
          <w:tcPr>
            <w:tcW w:w="914" w:type="dxa"/>
          </w:tcPr>
          <w:p>
            <w:pPr>
              <w:pStyle w:val="TableParagraph"/>
              <w:spacing w:line="206" w:lineRule="exact" w:before="88"/>
              <w:rPr>
                <w:sz w:val="18"/>
              </w:rPr>
            </w:pPr>
            <w:r>
              <w:rPr>
                <w:sz w:val="18"/>
              </w:rPr>
              <w:t>D2S1338</w:t>
            </w:r>
          </w:p>
        </w:tc>
        <w:tc>
          <w:tcPr>
            <w:tcW w:w="900" w:type="dxa"/>
          </w:tcPr>
          <w:p>
            <w:pPr>
              <w:pStyle w:val="TableParagraph"/>
              <w:spacing w:line="206" w:lineRule="exact" w:before="88"/>
              <w:ind w:left="5"/>
              <w:rPr>
                <w:sz w:val="18"/>
              </w:rPr>
            </w:pPr>
            <w:r>
              <w:rPr>
                <w:sz w:val="18"/>
              </w:rPr>
              <w:t>frequentie</w:t>
            </w:r>
          </w:p>
        </w:tc>
        <w:tc>
          <w:tcPr>
            <w:tcW w:w="900" w:type="dxa"/>
          </w:tcPr>
          <w:p>
            <w:pPr>
              <w:pStyle w:val="TableParagraph"/>
              <w:spacing w:line="206" w:lineRule="exact" w:before="88"/>
              <w:ind w:left="14"/>
              <w:rPr>
                <w:sz w:val="18"/>
              </w:rPr>
            </w:pPr>
            <w:r>
              <w:rPr>
                <w:sz w:val="18"/>
              </w:rPr>
              <w:t>D3S1358</w:t>
            </w:r>
          </w:p>
        </w:tc>
        <w:tc>
          <w:tcPr>
            <w:tcW w:w="900" w:type="dxa"/>
          </w:tcPr>
          <w:p>
            <w:pPr>
              <w:pStyle w:val="TableParagraph"/>
              <w:spacing w:line="206" w:lineRule="exact" w:before="88"/>
              <w:ind w:left="15"/>
              <w:rPr>
                <w:sz w:val="18"/>
              </w:rPr>
            </w:pPr>
            <w:r>
              <w:rPr>
                <w:sz w:val="18"/>
              </w:rPr>
              <w:t>frequentie</w:t>
            </w:r>
          </w:p>
        </w:tc>
        <w:tc>
          <w:tcPr>
            <w:tcW w:w="720" w:type="dxa"/>
          </w:tcPr>
          <w:p>
            <w:pPr>
              <w:pStyle w:val="TableParagraph"/>
              <w:spacing w:line="206" w:lineRule="exact" w:before="88"/>
              <w:ind w:left="5"/>
              <w:rPr>
                <w:sz w:val="18"/>
              </w:rPr>
            </w:pPr>
            <w:r>
              <w:rPr>
                <w:sz w:val="18"/>
              </w:rPr>
              <w:t>FGA</w:t>
            </w:r>
          </w:p>
        </w:tc>
        <w:tc>
          <w:tcPr>
            <w:tcW w:w="1080" w:type="dxa"/>
          </w:tcPr>
          <w:p>
            <w:pPr>
              <w:pStyle w:val="TableParagraph"/>
              <w:spacing w:line="206" w:lineRule="exact" w:before="88"/>
              <w:ind w:left="5"/>
              <w:rPr>
                <w:sz w:val="18"/>
              </w:rPr>
            </w:pPr>
            <w:r>
              <w:rPr>
                <w:sz w:val="18"/>
              </w:rPr>
              <w:t>frequentie</w:t>
            </w:r>
          </w:p>
        </w:tc>
        <w:tc>
          <w:tcPr>
            <w:tcW w:w="900" w:type="dxa"/>
          </w:tcPr>
          <w:p>
            <w:pPr>
              <w:pStyle w:val="TableParagraph"/>
              <w:spacing w:line="206" w:lineRule="exact" w:before="88"/>
              <w:ind w:left="5"/>
              <w:rPr>
                <w:sz w:val="18"/>
              </w:rPr>
            </w:pPr>
            <w:r>
              <w:rPr>
                <w:sz w:val="18"/>
              </w:rPr>
              <w:t>D8S1179</w:t>
            </w:r>
          </w:p>
        </w:tc>
        <w:tc>
          <w:tcPr>
            <w:tcW w:w="900" w:type="dxa"/>
          </w:tcPr>
          <w:p>
            <w:pPr>
              <w:pStyle w:val="TableParagraph"/>
              <w:spacing w:line="206" w:lineRule="exact" w:before="88"/>
              <w:ind w:left="5"/>
              <w:rPr>
                <w:sz w:val="18"/>
              </w:rPr>
            </w:pPr>
            <w:r>
              <w:rPr>
                <w:sz w:val="18"/>
              </w:rPr>
              <w:t>frequentie</w:t>
            </w:r>
          </w:p>
        </w:tc>
        <w:tc>
          <w:tcPr>
            <w:tcW w:w="720" w:type="dxa"/>
          </w:tcPr>
          <w:p>
            <w:pPr>
              <w:pStyle w:val="TableParagraph"/>
              <w:spacing w:line="206" w:lineRule="exact" w:before="88"/>
              <w:ind w:left="5"/>
              <w:rPr>
                <w:sz w:val="18"/>
              </w:rPr>
            </w:pPr>
            <w:r>
              <w:rPr>
                <w:sz w:val="18"/>
              </w:rPr>
              <w:t>THO1</w:t>
            </w:r>
          </w:p>
        </w:tc>
        <w:tc>
          <w:tcPr>
            <w:tcW w:w="900" w:type="dxa"/>
          </w:tcPr>
          <w:p>
            <w:pPr>
              <w:pStyle w:val="TableParagraph"/>
              <w:spacing w:line="206" w:lineRule="exact" w:before="88"/>
              <w:ind w:left="5"/>
              <w:rPr>
                <w:sz w:val="18"/>
              </w:rPr>
            </w:pPr>
            <w:r>
              <w:rPr>
                <w:sz w:val="18"/>
              </w:rPr>
              <w:t>frequentie</w:t>
            </w:r>
          </w:p>
        </w:tc>
      </w:tr>
      <w:tr>
        <w:trPr>
          <w:trHeight w:val="314" w:hRule="atLeast"/>
        </w:trPr>
        <w:tc>
          <w:tcPr>
            <w:tcW w:w="914" w:type="dxa"/>
          </w:tcPr>
          <w:p>
            <w:pPr>
              <w:pStyle w:val="TableParagraph"/>
              <w:spacing w:line="229" w:lineRule="exact" w:before="65"/>
              <w:rPr>
                <w:sz w:val="20"/>
              </w:rPr>
            </w:pPr>
            <w:r>
              <w:rPr>
                <w:sz w:val="20"/>
              </w:rPr>
              <w:t>15</w:t>
            </w:r>
          </w:p>
        </w:tc>
        <w:tc>
          <w:tcPr>
            <w:tcW w:w="900" w:type="dxa"/>
          </w:tcPr>
          <w:p>
            <w:pPr>
              <w:pStyle w:val="TableParagraph"/>
              <w:spacing w:line="229" w:lineRule="exact" w:before="65"/>
              <w:ind w:left="5"/>
              <w:rPr>
                <w:sz w:val="20"/>
              </w:rPr>
            </w:pPr>
            <w:r>
              <w:rPr>
                <w:sz w:val="20"/>
              </w:rPr>
              <w:t>0,000</w:t>
            </w:r>
          </w:p>
        </w:tc>
        <w:tc>
          <w:tcPr>
            <w:tcW w:w="900" w:type="dxa"/>
          </w:tcPr>
          <w:p>
            <w:pPr>
              <w:pStyle w:val="TableParagraph"/>
              <w:spacing w:line="229" w:lineRule="exact" w:before="65"/>
              <w:ind w:left="15"/>
              <w:rPr>
                <w:sz w:val="20"/>
              </w:rPr>
            </w:pPr>
            <w:r>
              <w:rPr>
                <w:sz w:val="20"/>
              </w:rPr>
              <w:t>12</w:t>
            </w:r>
          </w:p>
        </w:tc>
        <w:tc>
          <w:tcPr>
            <w:tcW w:w="900" w:type="dxa"/>
          </w:tcPr>
          <w:p>
            <w:pPr>
              <w:pStyle w:val="TableParagraph"/>
              <w:spacing w:line="229" w:lineRule="exact" w:before="65"/>
              <w:ind w:left="14"/>
              <w:rPr>
                <w:sz w:val="20"/>
              </w:rPr>
            </w:pPr>
            <w:r>
              <w:rPr>
                <w:sz w:val="20"/>
              </w:rPr>
              <w:t>0,000</w:t>
            </w:r>
          </w:p>
        </w:tc>
        <w:tc>
          <w:tcPr>
            <w:tcW w:w="720" w:type="dxa"/>
          </w:tcPr>
          <w:p>
            <w:pPr>
              <w:pStyle w:val="TableParagraph"/>
              <w:spacing w:line="229" w:lineRule="exact" w:before="65"/>
              <w:ind w:left="5"/>
              <w:rPr>
                <w:sz w:val="20"/>
              </w:rPr>
            </w:pPr>
            <w:r>
              <w:rPr>
                <w:sz w:val="20"/>
              </w:rPr>
              <w:t>18</w:t>
            </w:r>
          </w:p>
        </w:tc>
        <w:tc>
          <w:tcPr>
            <w:tcW w:w="1080" w:type="dxa"/>
          </w:tcPr>
          <w:p>
            <w:pPr>
              <w:pStyle w:val="TableParagraph"/>
              <w:spacing w:line="229" w:lineRule="exact" w:before="65"/>
              <w:rPr>
                <w:sz w:val="20"/>
              </w:rPr>
            </w:pPr>
            <w:r>
              <w:rPr>
                <w:sz w:val="20"/>
              </w:rPr>
              <w:t>0,013</w:t>
            </w:r>
          </w:p>
        </w:tc>
        <w:tc>
          <w:tcPr>
            <w:tcW w:w="900" w:type="dxa"/>
          </w:tcPr>
          <w:p>
            <w:pPr>
              <w:pStyle w:val="TableParagraph"/>
              <w:spacing w:line="229" w:lineRule="exact" w:before="65"/>
              <w:ind w:left="5"/>
              <w:rPr>
                <w:sz w:val="20"/>
              </w:rPr>
            </w:pPr>
            <w:r>
              <w:rPr>
                <w:w w:val="99"/>
                <w:sz w:val="20"/>
              </w:rPr>
              <w:t>8</w:t>
            </w:r>
          </w:p>
        </w:tc>
        <w:tc>
          <w:tcPr>
            <w:tcW w:w="900" w:type="dxa"/>
          </w:tcPr>
          <w:p>
            <w:pPr>
              <w:pStyle w:val="TableParagraph"/>
              <w:spacing w:line="229" w:lineRule="exact" w:before="65"/>
              <w:ind w:left="5"/>
              <w:rPr>
                <w:sz w:val="20"/>
              </w:rPr>
            </w:pPr>
            <w:r>
              <w:rPr>
                <w:sz w:val="20"/>
              </w:rPr>
              <w:t>0,019</w:t>
            </w:r>
          </w:p>
        </w:tc>
        <w:tc>
          <w:tcPr>
            <w:tcW w:w="720" w:type="dxa"/>
          </w:tcPr>
          <w:p>
            <w:pPr>
              <w:pStyle w:val="TableParagraph"/>
              <w:spacing w:line="229" w:lineRule="exact" w:before="65"/>
              <w:ind w:left="5"/>
              <w:rPr>
                <w:sz w:val="20"/>
              </w:rPr>
            </w:pPr>
            <w:r>
              <w:rPr>
                <w:w w:val="99"/>
                <w:sz w:val="20"/>
              </w:rPr>
              <w:t>5</w:t>
            </w:r>
          </w:p>
        </w:tc>
        <w:tc>
          <w:tcPr>
            <w:tcW w:w="900" w:type="dxa"/>
          </w:tcPr>
          <w:p>
            <w:pPr>
              <w:pStyle w:val="TableParagraph"/>
              <w:spacing w:line="229" w:lineRule="exact" w:before="65"/>
              <w:rPr>
                <w:sz w:val="20"/>
              </w:rPr>
            </w:pPr>
            <w:r>
              <w:rPr>
                <w:sz w:val="20"/>
              </w:rPr>
              <w:t>0,006</w:t>
            </w:r>
          </w:p>
        </w:tc>
      </w:tr>
      <w:tr>
        <w:trPr>
          <w:trHeight w:val="316" w:hRule="atLeast"/>
        </w:trPr>
        <w:tc>
          <w:tcPr>
            <w:tcW w:w="914" w:type="dxa"/>
          </w:tcPr>
          <w:p>
            <w:pPr>
              <w:pStyle w:val="TableParagraph"/>
              <w:spacing w:line="229" w:lineRule="exact" w:before="67"/>
              <w:rPr>
                <w:sz w:val="20"/>
              </w:rPr>
            </w:pPr>
            <w:r>
              <w:rPr>
                <w:sz w:val="20"/>
              </w:rPr>
              <w:t>16</w:t>
            </w:r>
          </w:p>
        </w:tc>
        <w:tc>
          <w:tcPr>
            <w:tcW w:w="900" w:type="dxa"/>
          </w:tcPr>
          <w:p>
            <w:pPr>
              <w:pStyle w:val="TableParagraph"/>
              <w:spacing w:line="229" w:lineRule="exact" w:before="67"/>
              <w:ind w:left="5"/>
              <w:rPr>
                <w:sz w:val="20"/>
              </w:rPr>
            </w:pPr>
            <w:r>
              <w:rPr>
                <w:sz w:val="20"/>
              </w:rPr>
              <w:t>0,048</w:t>
            </w:r>
          </w:p>
        </w:tc>
        <w:tc>
          <w:tcPr>
            <w:tcW w:w="900" w:type="dxa"/>
          </w:tcPr>
          <w:p>
            <w:pPr>
              <w:pStyle w:val="TableParagraph"/>
              <w:spacing w:line="229" w:lineRule="exact" w:before="67"/>
              <w:ind w:left="15"/>
              <w:rPr>
                <w:sz w:val="20"/>
              </w:rPr>
            </w:pPr>
            <w:r>
              <w:rPr>
                <w:sz w:val="20"/>
              </w:rPr>
              <w:t>13</w:t>
            </w:r>
          </w:p>
        </w:tc>
        <w:tc>
          <w:tcPr>
            <w:tcW w:w="900" w:type="dxa"/>
          </w:tcPr>
          <w:p>
            <w:pPr>
              <w:pStyle w:val="TableParagraph"/>
              <w:spacing w:line="229" w:lineRule="exact" w:before="67"/>
              <w:ind w:left="14"/>
              <w:rPr>
                <w:sz w:val="20"/>
              </w:rPr>
            </w:pPr>
            <w:r>
              <w:rPr>
                <w:sz w:val="20"/>
              </w:rPr>
              <w:t>0,002</w:t>
            </w:r>
          </w:p>
        </w:tc>
        <w:tc>
          <w:tcPr>
            <w:tcW w:w="720" w:type="dxa"/>
          </w:tcPr>
          <w:p>
            <w:pPr>
              <w:pStyle w:val="TableParagraph"/>
              <w:spacing w:line="229" w:lineRule="exact" w:before="67"/>
              <w:ind w:left="5"/>
              <w:rPr>
                <w:sz w:val="20"/>
              </w:rPr>
            </w:pPr>
            <w:r>
              <w:rPr>
                <w:sz w:val="20"/>
              </w:rPr>
              <w:t>18.2</w:t>
            </w:r>
          </w:p>
        </w:tc>
        <w:tc>
          <w:tcPr>
            <w:tcW w:w="1080" w:type="dxa"/>
          </w:tcPr>
          <w:p>
            <w:pPr>
              <w:pStyle w:val="TableParagraph"/>
              <w:spacing w:line="229" w:lineRule="exact" w:before="67"/>
              <w:rPr>
                <w:sz w:val="20"/>
              </w:rPr>
            </w:pPr>
            <w:r>
              <w:rPr>
                <w:sz w:val="20"/>
              </w:rPr>
              <w:t>0,000</w:t>
            </w:r>
          </w:p>
        </w:tc>
        <w:tc>
          <w:tcPr>
            <w:tcW w:w="900" w:type="dxa"/>
          </w:tcPr>
          <w:p>
            <w:pPr>
              <w:pStyle w:val="TableParagraph"/>
              <w:spacing w:line="229" w:lineRule="exact" w:before="67"/>
              <w:ind w:left="5"/>
              <w:rPr>
                <w:sz w:val="20"/>
              </w:rPr>
            </w:pPr>
            <w:r>
              <w:rPr>
                <w:w w:val="99"/>
                <w:sz w:val="20"/>
              </w:rPr>
              <w:t>9</w:t>
            </w:r>
          </w:p>
        </w:tc>
        <w:tc>
          <w:tcPr>
            <w:tcW w:w="900" w:type="dxa"/>
          </w:tcPr>
          <w:p>
            <w:pPr>
              <w:pStyle w:val="TableParagraph"/>
              <w:spacing w:line="229" w:lineRule="exact" w:before="67"/>
              <w:ind w:left="5"/>
              <w:rPr>
                <w:sz w:val="20"/>
              </w:rPr>
            </w:pPr>
            <w:r>
              <w:rPr>
                <w:sz w:val="20"/>
              </w:rPr>
              <w:t>0,011</w:t>
            </w:r>
          </w:p>
        </w:tc>
        <w:tc>
          <w:tcPr>
            <w:tcW w:w="720" w:type="dxa"/>
          </w:tcPr>
          <w:p>
            <w:pPr>
              <w:pStyle w:val="TableParagraph"/>
              <w:spacing w:line="229" w:lineRule="exact" w:before="67"/>
              <w:ind w:left="5"/>
              <w:rPr>
                <w:sz w:val="20"/>
              </w:rPr>
            </w:pPr>
            <w:r>
              <w:rPr>
                <w:w w:val="99"/>
                <w:sz w:val="20"/>
              </w:rPr>
              <w:t>6</w:t>
            </w:r>
          </w:p>
        </w:tc>
        <w:tc>
          <w:tcPr>
            <w:tcW w:w="900" w:type="dxa"/>
          </w:tcPr>
          <w:p>
            <w:pPr>
              <w:pStyle w:val="TableParagraph"/>
              <w:spacing w:line="229" w:lineRule="exact" w:before="67"/>
              <w:rPr>
                <w:sz w:val="20"/>
              </w:rPr>
            </w:pPr>
            <w:r>
              <w:rPr>
                <w:sz w:val="20"/>
              </w:rPr>
              <w:t>0,225</w:t>
            </w:r>
          </w:p>
        </w:tc>
      </w:tr>
      <w:tr>
        <w:trPr>
          <w:trHeight w:val="313" w:hRule="atLeast"/>
        </w:trPr>
        <w:tc>
          <w:tcPr>
            <w:tcW w:w="914" w:type="dxa"/>
          </w:tcPr>
          <w:p>
            <w:pPr>
              <w:pStyle w:val="TableParagraph"/>
              <w:spacing w:line="229" w:lineRule="exact" w:before="65"/>
              <w:rPr>
                <w:sz w:val="20"/>
              </w:rPr>
            </w:pPr>
            <w:r>
              <w:rPr>
                <w:sz w:val="20"/>
              </w:rPr>
              <w:t>17</w:t>
            </w:r>
          </w:p>
        </w:tc>
        <w:tc>
          <w:tcPr>
            <w:tcW w:w="900" w:type="dxa"/>
          </w:tcPr>
          <w:p>
            <w:pPr>
              <w:pStyle w:val="TableParagraph"/>
              <w:spacing w:line="229" w:lineRule="exact" w:before="65"/>
              <w:ind w:left="5"/>
              <w:rPr>
                <w:sz w:val="20"/>
              </w:rPr>
            </w:pPr>
            <w:r>
              <w:rPr>
                <w:sz w:val="20"/>
              </w:rPr>
              <w:t>0,203</w:t>
            </w:r>
          </w:p>
        </w:tc>
        <w:tc>
          <w:tcPr>
            <w:tcW w:w="900" w:type="dxa"/>
          </w:tcPr>
          <w:p>
            <w:pPr>
              <w:pStyle w:val="TableParagraph"/>
              <w:spacing w:line="229" w:lineRule="exact" w:before="65"/>
              <w:ind w:left="15"/>
              <w:rPr>
                <w:sz w:val="20"/>
              </w:rPr>
            </w:pPr>
            <w:r>
              <w:rPr>
                <w:sz w:val="20"/>
              </w:rPr>
              <w:t>14</w:t>
            </w:r>
          </w:p>
        </w:tc>
        <w:tc>
          <w:tcPr>
            <w:tcW w:w="900" w:type="dxa"/>
          </w:tcPr>
          <w:p>
            <w:pPr>
              <w:pStyle w:val="TableParagraph"/>
              <w:spacing w:line="229" w:lineRule="exact" w:before="65"/>
              <w:ind w:left="14"/>
              <w:rPr>
                <w:sz w:val="20"/>
              </w:rPr>
            </w:pPr>
            <w:r>
              <w:rPr>
                <w:sz w:val="20"/>
              </w:rPr>
              <w:t>0,091</w:t>
            </w:r>
          </w:p>
        </w:tc>
        <w:tc>
          <w:tcPr>
            <w:tcW w:w="720" w:type="dxa"/>
          </w:tcPr>
          <w:p>
            <w:pPr>
              <w:pStyle w:val="TableParagraph"/>
              <w:spacing w:line="229" w:lineRule="exact" w:before="65"/>
              <w:ind w:left="5"/>
              <w:rPr>
                <w:sz w:val="20"/>
              </w:rPr>
            </w:pPr>
            <w:r>
              <w:rPr>
                <w:sz w:val="20"/>
              </w:rPr>
              <w:t>19</w:t>
            </w:r>
          </w:p>
        </w:tc>
        <w:tc>
          <w:tcPr>
            <w:tcW w:w="1080" w:type="dxa"/>
          </w:tcPr>
          <w:p>
            <w:pPr>
              <w:pStyle w:val="TableParagraph"/>
              <w:spacing w:line="229" w:lineRule="exact" w:before="65"/>
              <w:rPr>
                <w:sz w:val="20"/>
              </w:rPr>
            </w:pPr>
            <w:r>
              <w:rPr>
                <w:sz w:val="20"/>
              </w:rPr>
              <w:t>0,058</w:t>
            </w:r>
          </w:p>
        </w:tc>
        <w:tc>
          <w:tcPr>
            <w:tcW w:w="900" w:type="dxa"/>
          </w:tcPr>
          <w:p>
            <w:pPr>
              <w:pStyle w:val="TableParagraph"/>
              <w:spacing w:line="229" w:lineRule="exact" w:before="65"/>
              <w:ind w:left="5"/>
              <w:rPr>
                <w:sz w:val="20"/>
              </w:rPr>
            </w:pPr>
            <w:r>
              <w:rPr>
                <w:sz w:val="20"/>
              </w:rPr>
              <w:t>10</w:t>
            </w:r>
          </w:p>
        </w:tc>
        <w:tc>
          <w:tcPr>
            <w:tcW w:w="900" w:type="dxa"/>
          </w:tcPr>
          <w:p>
            <w:pPr>
              <w:pStyle w:val="TableParagraph"/>
              <w:spacing w:line="229" w:lineRule="exact" w:before="65"/>
              <w:rPr>
                <w:sz w:val="20"/>
              </w:rPr>
            </w:pPr>
            <w:r>
              <w:rPr>
                <w:sz w:val="20"/>
              </w:rPr>
              <w:t>0,078</w:t>
            </w:r>
          </w:p>
        </w:tc>
        <w:tc>
          <w:tcPr>
            <w:tcW w:w="720" w:type="dxa"/>
          </w:tcPr>
          <w:p>
            <w:pPr>
              <w:pStyle w:val="TableParagraph"/>
              <w:spacing w:line="229" w:lineRule="exact" w:before="65"/>
              <w:rPr>
                <w:sz w:val="20"/>
              </w:rPr>
            </w:pPr>
            <w:r>
              <w:rPr>
                <w:w w:val="99"/>
                <w:sz w:val="20"/>
              </w:rPr>
              <w:t>7</w:t>
            </w:r>
          </w:p>
        </w:tc>
        <w:tc>
          <w:tcPr>
            <w:tcW w:w="900" w:type="dxa"/>
          </w:tcPr>
          <w:p>
            <w:pPr>
              <w:pStyle w:val="TableParagraph"/>
              <w:spacing w:line="229" w:lineRule="exact" w:before="65"/>
              <w:ind w:left="5"/>
              <w:rPr>
                <w:sz w:val="20"/>
              </w:rPr>
            </w:pPr>
            <w:r>
              <w:rPr>
                <w:sz w:val="20"/>
              </w:rPr>
              <w:t>0,219</w:t>
            </w:r>
          </w:p>
        </w:tc>
      </w:tr>
      <w:tr>
        <w:trPr>
          <w:trHeight w:val="316" w:hRule="atLeast"/>
        </w:trPr>
        <w:tc>
          <w:tcPr>
            <w:tcW w:w="914" w:type="dxa"/>
          </w:tcPr>
          <w:p>
            <w:pPr>
              <w:pStyle w:val="TableParagraph"/>
              <w:spacing w:line="229" w:lineRule="exact" w:before="67"/>
              <w:rPr>
                <w:sz w:val="20"/>
              </w:rPr>
            </w:pPr>
            <w:r>
              <w:rPr>
                <w:sz w:val="20"/>
              </w:rPr>
              <w:t>18</w:t>
            </w:r>
          </w:p>
        </w:tc>
        <w:tc>
          <w:tcPr>
            <w:tcW w:w="900" w:type="dxa"/>
          </w:tcPr>
          <w:p>
            <w:pPr>
              <w:pStyle w:val="TableParagraph"/>
              <w:spacing w:line="229" w:lineRule="exact" w:before="67"/>
              <w:ind w:left="5"/>
              <w:rPr>
                <w:sz w:val="20"/>
              </w:rPr>
            </w:pPr>
            <w:r>
              <w:rPr>
                <w:sz w:val="20"/>
              </w:rPr>
              <w:t>0,076</w:t>
            </w:r>
          </w:p>
        </w:tc>
        <w:tc>
          <w:tcPr>
            <w:tcW w:w="900" w:type="dxa"/>
          </w:tcPr>
          <w:p>
            <w:pPr>
              <w:pStyle w:val="TableParagraph"/>
              <w:spacing w:line="229" w:lineRule="exact" w:before="67"/>
              <w:ind w:left="15"/>
              <w:rPr>
                <w:sz w:val="20"/>
              </w:rPr>
            </w:pPr>
            <w:r>
              <w:rPr>
                <w:sz w:val="20"/>
              </w:rPr>
              <w:t>15</w:t>
            </w:r>
          </w:p>
        </w:tc>
        <w:tc>
          <w:tcPr>
            <w:tcW w:w="900" w:type="dxa"/>
          </w:tcPr>
          <w:p>
            <w:pPr>
              <w:pStyle w:val="TableParagraph"/>
              <w:spacing w:line="229" w:lineRule="exact" w:before="67"/>
              <w:ind w:left="14"/>
              <w:rPr>
                <w:sz w:val="20"/>
              </w:rPr>
            </w:pPr>
            <w:r>
              <w:rPr>
                <w:sz w:val="20"/>
              </w:rPr>
              <w:t>0,281</w:t>
            </w:r>
          </w:p>
        </w:tc>
        <w:tc>
          <w:tcPr>
            <w:tcW w:w="720" w:type="dxa"/>
          </w:tcPr>
          <w:p>
            <w:pPr>
              <w:pStyle w:val="TableParagraph"/>
              <w:spacing w:line="229" w:lineRule="exact" w:before="67"/>
              <w:ind w:left="5"/>
              <w:rPr>
                <w:sz w:val="20"/>
              </w:rPr>
            </w:pPr>
            <w:r>
              <w:rPr>
                <w:sz w:val="20"/>
              </w:rPr>
              <w:t>19.2</w:t>
            </w:r>
          </w:p>
        </w:tc>
        <w:tc>
          <w:tcPr>
            <w:tcW w:w="1080" w:type="dxa"/>
          </w:tcPr>
          <w:p>
            <w:pPr>
              <w:pStyle w:val="TableParagraph"/>
              <w:spacing w:line="229" w:lineRule="exact" w:before="67"/>
              <w:rPr>
                <w:sz w:val="20"/>
              </w:rPr>
            </w:pPr>
            <w:r>
              <w:rPr>
                <w:sz w:val="20"/>
              </w:rPr>
              <w:t>0,000</w:t>
            </w:r>
          </w:p>
        </w:tc>
        <w:tc>
          <w:tcPr>
            <w:tcW w:w="900" w:type="dxa"/>
          </w:tcPr>
          <w:p>
            <w:pPr>
              <w:pStyle w:val="TableParagraph"/>
              <w:spacing w:line="229" w:lineRule="exact" w:before="67"/>
              <w:ind w:left="5"/>
              <w:rPr>
                <w:sz w:val="20"/>
              </w:rPr>
            </w:pPr>
            <w:r>
              <w:rPr>
                <w:sz w:val="20"/>
              </w:rPr>
              <w:t>11</w:t>
            </w:r>
          </w:p>
        </w:tc>
        <w:tc>
          <w:tcPr>
            <w:tcW w:w="900" w:type="dxa"/>
          </w:tcPr>
          <w:p>
            <w:pPr>
              <w:pStyle w:val="TableParagraph"/>
              <w:spacing w:line="229" w:lineRule="exact" w:before="67"/>
              <w:rPr>
                <w:sz w:val="20"/>
              </w:rPr>
            </w:pPr>
            <w:r>
              <w:rPr>
                <w:sz w:val="20"/>
              </w:rPr>
              <w:t>0,087</w:t>
            </w:r>
          </w:p>
        </w:tc>
        <w:tc>
          <w:tcPr>
            <w:tcW w:w="720" w:type="dxa"/>
          </w:tcPr>
          <w:p>
            <w:pPr>
              <w:pStyle w:val="TableParagraph"/>
              <w:spacing w:line="229" w:lineRule="exact" w:before="67"/>
              <w:rPr>
                <w:sz w:val="20"/>
              </w:rPr>
            </w:pPr>
            <w:r>
              <w:rPr>
                <w:w w:val="99"/>
                <w:sz w:val="20"/>
              </w:rPr>
              <w:t>8</w:t>
            </w:r>
          </w:p>
        </w:tc>
        <w:tc>
          <w:tcPr>
            <w:tcW w:w="900" w:type="dxa"/>
          </w:tcPr>
          <w:p>
            <w:pPr>
              <w:pStyle w:val="TableParagraph"/>
              <w:spacing w:line="229" w:lineRule="exact" w:before="67"/>
              <w:ind w:left="5"/>
              <w:rPr>
                <w:sz w:val="20"/>
              </w:rPr>
            </w:pPr>
            <w:r>
              <w:rPr>
                <w:sz w:val="20"/>
              </w:rPr>
              <w:t>0,104</w:t>
            </w:r>
          </w:p>
        </w:tc>
      </w:tr>
      <w:tr>
        <w:trPr>
          <w:trHeight w:val="313" w:hRule="atLeast"/>
        </w:trPr>
        <w:tc>
          <w:tcPr>
            <w:tcW w:w="914" w:type="dxa"/>
          </w:tcPr>
          <w:p>
            <w:pPr>
              <w:pStyle w:val="TableParagraph"/>
              <w:spacing w:line="229" w:lineRule="exact" w:before="65"/>
              <w:rPr>
                <w:sz w:val="20"/>
              </w:rPr>
            </w:pPr>
            <w:r>
              <w:rPr>
                <w:sz w:val="20"/>
              </w:rPr>
              <w:t>19</w:t>
            </w:r>
          </w:p>
        </w:tc>
        <w:tc>
          <w:tcPr>
            <w:tcW w:w="900" w:type="dxa"/>
          </w:tcPr>
          <w:p>
            <w:pPr>
              <w:pStyle w:val="TableParagraph"/>
              <w:spacing w:line="229" w:lineRule="exact" w:before="65"/>
              <w:ind w:left="5"/>
              <w:rPr>
                <w:sz w:val="20"/>
              </w:rPr>
            </w:pPr>
            <w:r>
              <w:rPr>
                <w:sz w:val="20"/>
              </w:rPr>
              <w:t>0,128</w:t>
            </w:r>
          </w:p>
        </w:tc>
        <w:tc>
          <w:tcPr>
            <w:tcW w:w="900" w:type="dxa"/>
          </w:tcPr>
          <w:p>
            <w:pPr>
              <w:pStyle w:val="TableParagraph"/>
              <w:spacing w:line="229" w:lineRule="exact" w:before="65"/>
              <w:ind w:left="15"/>
              <w:rPr>
                <w:sz w:val="20"/>
              </w:rPr>
            </w:pPr>
            <w:r>
              <w:rPr>
                <w:sz w:val="20"/>
              </w:rPr>
              <w:t>16</w:t>
            </w:r>
          </w:p>
        </w:tc>
        <w:tc>
          <w:tcPr>
            <w:tcW w:w="900" w:type="dxa"/>
          </w:tcPr>
          <w:p>
            <w:pPr>
              <w:pStyle w:val="TableParagraph"/>
              <w:spacing w:line="229" w:lineRule="exact" w:before="65"/>
              <w:ind w:left="14"/>
              <w:rPr>
                <w:sz w:val="20"/>
              </w:rPr>
            </w:pPr>
            <w:r>
              <w:rPr>
                <w:sz w:val="20"/>
              </w:rPr>
              <w:t>0,253</w:t>
            </w:r>
          </w:p>
        </w:tc>
        <w:tc>
          <w:tcPr>
            <w:tcW w:w="720" w:type="dxa"/>
          </w:tcPr>
          <w:p>
            <w:pPr>
              <w:pStyle w:val="TableParagraph"/>
              <w:spacing w:line="229" w:lineRule="exact" w:before="65"/>
              <w:ind w:left="5"/>
              <w:rPr>
                <w:sz w:val="20"/>
              </w:rPr>
            </w:pPr>
            <w:r>
              <w:rPr>
                <w:sz w:val="20"/>
              </w:rPr>
              <w:t>20</w:t>
            </w:r>
          </w:p>
        </w:tc>
        <w:tc>
          <w:tcPr>
            <w:tcW w:w="1080" w:type="dxa"/>
          </w:tcPr>
          <w:p>
            <w:pPr>
              <w:pStyle w:val="TableParagraph"/>
              <w:spacing w:line="229" w:lineRule="exact" w:before="65"/>
              <w:rPr>
                <w:sz w:val="20"/>
              </w:rPr>
            </w:pPr>
            <w:r>
              <w:rPr>
                <w:sz w:val="20"/>
              </w:rPr>
              <w:t>0,145</w:t>
            </w:r>
          </w:p>
        </w:tc>
        <w:tc>
          <w:tcPr>
            <w:tcW w:w="900" w:type="dxa"/>
          </w:tcPr>
          <w:p>
            <w:pPr>
              <w:pStyle w:val="TableParagraph"/>
              <w:spacing w:line="229" w:lineRule="exact" w:before="65"/>
              <w:ind w:left="5"/>
              <w:rPr>
                <w:sz w:val="20"/>
              </w:rPr>
            </w:pPr>
            <w:r>
              <w:rPr>
                <w:sz w:val="20"/>
              </w:rPr>
              <w:t>12</w:t>
            </w:r>
          </w:p>
        </w:tc>
        <w:tc>
          <w:tcPr>
            <w:tcW w:w="900" w:type="dxa"/>
          </w:tcPr>
          <w:p>
            <w:pPr>
              <w:pStyle w:val="TableParagraph"/>
              <w:spacing w:line="229" w:lineRule="exact" w:before="65"/>
              <w:rPr>
                <w:sz w:val="20"/>
              </w:rPr>
            </w:pPr>
            <w:r>
              <w:rPr>
                <w:sz w:val="20"/>
              </w:rPr>
              <w:t>0,147</w:t>
            </w:r>
          </w:p>
        </w:tc>
        <w:tc>
          <w:tcPr>
            <w:tcW w:w="720" w:type="dxa"/>
          </w:tcPr>
          <w:p>
            <w:pPr>
              <w:pStyle w:val="TableParagraph"/>
              <w:spacing w:line="229" w:lineRule="exact" w:before="65"/>
              <w:rPr>
                <w:sz w:val="20"/>
              </w:rPr>
            </w:pPr>
            <w:r>
              <w:rPr>
                <w:w w:val="99"/>
                <w:sz w:val="20"/>
              </w:rPr>
              <w:t>9</w:t>
            </w:r>
          </w:p>
        </w:tc>
        <w:tc>
          <w:tcPr>
            <w:tcW w:w="900" w:type="dxa"/>
          </w:tcPr>
          <w:p>
            <w:pPr>
              <w:pStyle w:val="TableParagraph"/>
              <w:spacing w:line="229" w:lineRule="exact" w:before="65"/>
              <w:ind w:left="5"/>
              <w:rPr>
                <w:sz w:val="20"/>
              </w:rPr>
            </w:pPr>
            <w:r>
              <w:rPr>
                <w:sz w:val="20"/>
              </w:rPr>
              <w:t>0,132</w:t>
            </w:r>
          </w:p>
        </w:tc>
      </w:tr>
      <w:tr>
        <w:trPr>
          <w:trHeight w:val="316" w:hRule="atLeast"/>
        </w:trPr>
        <w:tc>
          <w:tcPr>
            <w:tcW w:w="914" w:type="dxa"/>
          </w:tcPr>
          <w:p>
            <w:pPr>
              <w:pStyle w:val="TableParagraph"/>
              <w:spacing w:line="229" w:lineRule="exact" w:before="67"/>
              <w:rPr>
                <w:sz w:val="20"/>
              </w:rPr>
            </w:pPr>
            <w:r>
              <w:rPr>
                <w:sz w:val="20"/>
              </w:rPr>
              <w:t>20</w:t>
            </w:r>
          </w:p>
        </w:tc>
        <w:tc>
          <w:tcPr>
            <w:tcW w:w="900" w:type="dxa"/>
          </w:tcPr>
          <w:p>
            <w:pPr>
              <w:pStyle w:val="TableParagraph"/>
              <w:spacing w:line="229" w:lineRule="exact" w:before="67"/>
              <w:ind w:left="5"/>
              <w:rPr>
                <w:sz w:val="20"/>
              </w:rPr>
            </w:pPr>
            <w:r>
              <w:rPr>
                <w:sz w:val="20"/>
              </w:rPr>
              <w:t>0,171</w:t>
            </w:r>
          </w:p>
        </w:tc>
        <w:tc>
          <w:tcPr>
            <w:tcW w:w="900" w:type="dxa"/>
          </w:tcPr>
          <w:p>
            <w:pPr>
              <w:pStyle w:val="TableParagraph"/>
              <w:spacing w:line="229" w:lineRule="exact" w:before="67"/>
              <w:ind w:left="15"/>
              <w:rPr>
                <w:sz w:val="20"/>
              </w:rPr>
            </w:pPr>
            <w:r>
              <w:rPr>
                <w:sz w:val="20"/>
              </w:rPr>
              <w:t>17</w:t>
            </w:r>
          </w:p>
        </w:tc>
        <w:tc>
          <w:tcPr>
            <w:tcW w:w="900" w:type="dxa"/>
          </w:tcPr>
          <w:p>
            <w:pPr>
              <w:pStyle w:val="TableParagraph"/>
              <w:spacing w:line="229" w:lineRule="exact" w:before="67"/>
              <w:ind w:left="14"/>
              <w:rPr>
                <w:sz w:val="20"/>
              </w:rPr>
            </w:pPr>
            <w:r>
              <w:rPr>
                <w:sz w:val="20"/>
              </w:rPr>
              <w:t>0,193</w:t>
            </w:r>
          </w:p>
        </w:tc>
        <w:tc>
          <w:tcPr>
            <w:tcW w:w="720" w:type="dxa"/>
          </w:tcPr>
          <w:p>
            <w:pPr>
              <w:pStyle w:val="TableParagraph"/>
              <w:spacing w:line="229" w:lineRule="exact" w:before="67"/>
              <w:ind w:left="5"/>
              <w:rPr>
                <w:sz w:val="20"/>
              </w:rPr>
            </w:pPr>
            <w:r>
              <w:rPr>
                <w:sz w:val="20"/>
              </w:rPr>
              <w:t>21</w:t>
            </w:r>
          </w:p>
        </w:tc>
        <w:tc>
          <w:tcPr>
            <w:tcW w:w="1080" w:type="dxa"/>
          </w:tcPr>
          <w:p>
            <w:pPr>
              <w:pStyle w:val="TableParagraph"/>
              <w:spacing w:line="229" w:lineRule="exact" w:before="67"/>
              <w:rPr>
                <w:sz w:val="20"/>
              </w:rPr>
            </w:pPr>
            <w:r>
              <w:rPr>
                <w:sz w:val="20"/>
              </w:rPr>
              <w:t>0,177</w:t>
            </w:r>
          </w:p>
        </w:tc>
        <w:tc>
          <w:tcPr>
            <w:tcW w:w="900" w:type="dxa"/>
          </w:tcPr>
          <w:p>
            <w:pPr>
              <w:pStyle w:val="TableParagraph"/>
              <w:spacing w:line="229" w:lineRule="exact" w:before="67"/>
              <w:ind w:left="5"/>
              <w:rPr>
                <w:sz w:val="20"/>
              </w:rPr>
            </w:pPr>
            <w:r>
              <w:rPr>
                <w:sz w:val="20"/>
              </w:rPr>
              <w:t>13</w:t>
            </w:r>
          </w:p>
        </w:tc>
        <w:tc>
          <w:tcPr>
            <w:tcW w:w="900" w:type="dxa"/>
          </w:tcPr>
          <w:p>
            <w:pPr>
              <w:pStyle w:val="TableParagraph"/>
              <w:spacing w:line="229" w:lineRule="exact" w:before="67"/>
              <w:rPr>
                <w:sz w:val="20"/>
              </w:rPr>
            </w:pPr>
            <w:r>
              <w:rPr>
                <w:sz w:val="20"/>
              </w:rPr>
              <w:t>0,346</w:t>
            </w:r>
          </w:p>
        </w:tc>
        <w:tc>
          <w:tcPr>
            <w:tcW w:w="720" w:type="dxa"/>
          </w:tcPr>
          <w:p>
            <w:pPr>
              <w:pStyle w:val="TableParagraph"/>
              <w:spacing w:line="229" w:lineRule="exact" w:before="67"/>
              <w:rPr>
                <w:sz w:val="20"/>
              </w:rPr>
            </w:pPr>
            <w:r>
              <w:rPr>
                <w:sz w:val="20"/>
              </w:rPr>
              <w:t>9.3</w:t>
            </w:r>
          </w:p>
        </w:tc>
        <w:tc>
          <w:tcPr>
            <w:tcW w:w="900" w:type="dxa"/>
          </w:tcPr>
          <w:p>
            <w:pPr>
              <w:pStyle w:val="TableParagraph"/>
              <w:spacing w:line="229" w:lineRule="exact" w:before="67"/>
              <w:rPr>
                <w:sz w:val="20"/>
              </w:rPr>
            </w:pPr>
            <w:r>
              <w:rPr>
                <w:sz w:val="20"/>
              </w:rPr>
              <w:t>0,307</w:t>
            </w:r>
          </w:p>
        </w:tc>
      </w:tr>
      <w:tr>
        <w:trPr>
          <w:trHeight w:val="314" w:hRule="atLeast"/>
        </w:trPr>
        <w:tc>
          <w:tcPr>
            <w:tcW w:w="914" w:type="dxa"/>
          </w:tcPr>
          <w:p>
            <w:pPr>
              <w:pStyle w:val="TableParagraph"/>
              <w:spacing w:line="229" w:lineRule="exact" w:before="65"/>
              <w:rPr>
                <w:sz w:val="20"/>
              </w:rPr>
            </w:pPr>
            <w:r>
              <w:rPr>
                <w:sz w:val="20"/>
              </w:rPr>
              <w:t>21</w:t>
            </w:r>
          </w:p>
        </w:tc>
        <w:tc>
          <w:tcPr>
            <w:tcW w:w="900" w:type="dxa"/>
          </w:tcPr>
          <w:p>
            <w:pPr>
              <w:pStyle w:val="TableParagraph"/>
              <w:spacing w:line="229" w:lineRule="exact" w:before="65"/>
              <w:ind w:left="5"/>
              <w:rPr>
                <w:sz w:val="20"/>
              </w:rPr>
            </w:pPr>
            <w:r>
              <w:rPr>
                <w:sz w:val="20"/>
              </w:rPr>
              <w:t>0,015</w:t>
            </w:r>
          </w:p>
        </w:tc>
        <w:tc>
          <w:tcPr>
            <w:tcW w:w="900" w:type="dxa"/>
          </w:tcPr>
          <w:p>
            <w:pPr>
              <w:pStyle w:val="TableParagraph"/>
              <w:spacing w:line="229" w:lineRule="exact" w:before="65"/>
              <w:ind w:left="15"/>
              <w:rPr>
                <w:sz w:val="20"/>
              </w:rPr>
            </w:pPr>
            <w:r>
              <w:rPr>
                <w:sz w:val="20"/>
              </w:rPr>
              <w:t>18</w:t>
            </w:r>
          </w:p>
        </w:tc>
        <w:tc>
          <w:tcPr>
            <w:tcW w:w="900" w:type="dxa"/>
          </w:tcPr>
          <w:p>
            <w:pPr>
              <w:pStyle w:val="TableParagraph"/>
              <w:spacing w:line="229" w:lineRule="exact" w:before="65"/>
              <w:ind w:left="14"/>
              <w:rPr>
                <w:sz w:val="20"/>
              </w:rPr>
            </w:pPr>
            <w:r>
              <w:rPr>
                <w:sz w:val="20"/>
              </w:rPr>
              <w:t>0,167</w:t>
            </w:r>
          </w:p>
        </w:tc>
        <w:tc>
          <w:tcPr>
            <w:tcW w:w="720" w:type="dxa"/>
          </w:tcPr>
          <w:p>
            <w:pPr>
              <w:pStyle w:val="TableParagraph"/>
              <w:spacing w:line="229" w:lineRule="exact" w:before="65"/>
              <w:ind w:left="5"/>
              <w:rPr>
                <w:sz w:val="20"/>
              </w:rPr>
            </w:pPr>
            <w:r>
              <w:rPr>
                <w:sz w:val="20"/>
              </w:rPr>
              <w:t>22</w:t>
            </w:r>
          </w:p>
        </w:tc>
        <w:tc>
          <w:tcPr>
            <w:tcW w:w="1080" w:type="dxa"/>
          </w:tcPr>
          <w:p>
            <w:pPr>
              <w:pStyle w:val="TableParagraph"/>
              <w:spacing w:line="229" w:lineRule="exact" w:before="65"/>
              <w:rPr>
                <w:sz w:val="20"/>
              </w:rPr>
            </w:pPr>
            <w:r>
              <w:rPr>
                <w:sz w:val="20"/>
              </w:rPr>
              <w:t>0,173</w:t>
            </w:r>
          </w:p>
        </w:tc>
        <w:tc>
          <w:tcPr>
            <w:tcW w:w="900" w:type="dxa"/>
          </w:tcPr>
          <w:p>
            <w:pPr>
              <w:pStyle w:val="TableParagraph"/>
              <w:spacing w:line="229" w:lineRule="exact" w:before="65"/>
              <w:ind w:left="5"/>
              <w:rPr>
                <w:sz w:val="20"/>
              </w:rPr>
            </w:pPr>
            <w:r>
              <w:rPr>
                <w:sz w:val="20"/>
              </w:rPr>
              <w:t>14</w:t>
            </w:r>
          </w:p>
        </w:tc>
        <w:tc>
          <w:tcPr>
            <w:tcW w:w="900" w:type="dxa"/>
          </w:tcPr>
          <w:p>
            <w:pPr>
              <w:pStyle w:val="TableParagraph"/>
              <w:spacing w:line="229" w:lineRule="exact" w:before="65"/>
              <w:rPr>
                <w:sz w:val="20"/>
              </w:rPr>
            </w:pPr>
            <w:r>
              <w:rPr>
                <w:sz w:val="20"/>
              </w:rPr>
              <w:t>0,180</w:t>
            </w:r>
          </w:p>
        </w:tc>
        <w:tc>
          <w:tcPr>
            <w:tcW w:w="720" w:type="dxa"/>
          </w:tcPr>
          <w:p>
            <w:pPr>
              <w:pStyle w:val="TableParagraph"/>
              <w:spacing w:line="229" w:lineRule="exact" w:before="65"/>
              <w:rPr>
                <w:sz w:val="20"/>
              </w:rPr>
            </w:pPr>
            <w:r>
              <w:rPr>
                <w:sz w:val="20"/>
              </w:rPr>
              <w:t>10</w:t>
            </w:r>
          </w:p>
        </w:tc>
        <w:tc>
          <w:tcPr>
            <w:tcW w:w="900" w:type="dxa"/>
          </w:tcPr>
          <w:p>
            <w:pPr>
              <w:pStyle w:val="TableParagraph"/>
              <w:spacing w:line="229" w:lineRule="exact" w:before="65"/>
              <w:rPr>
                <w:sz w:val="20"/>
              </w:rPr>
            </w:pPr>
            <w:r>
              <w:rPr>
                <w:sz w:val="20"/>
              </w:rPr>
              <w:t>0,006</w:t>
            </w:r>
          </w:p>
        </w:tc>
      </w:tr>
      <w:tr>
        <w:trPr>
          <w:trHeight w:val="313" w:hRule="atLeast"/>
        </w:trPr>
        <w:tc>
          <w:tcPr>
            <w:tcW w:w="914" w:type="dxa"/>
          </w:tcPr>
          <w:p>
            <w:pPr>
              <w:pStyle w:val="TableParagraph"/>
              <w:spacing w:line="229" w:lineRule="exact" w:before="65"/>
              <w:rPr>
                <w:sz w:val="20"/>
              </w:rPr>
            </w:pPr>
            <w:r>
              <w:rPr>
                <w:sz w:val="20"/>
              </w:rPr>
              <w:t>22</w:t>
            </w:r>
          </w:p>
        </w:tc>
        <w:tc>
          <w:tcPr>
            <w:tcW w:w="900" w:type="dxa"/>
          </w:tcPr>
          <w:p>
            <w:pPr>
              <w:pStyle w:val="TableParagraph"/>
              <w:spacing w:line="229" w:lineRule="exact" w:before="65"/>
              <w:ind w:left="5"/>
              <w:rPr>
                <w:sz w:val="20"/>
              </w:rPr>
            </w:pPr>
            <w:r>
              <w:rPr>
                <w:sz w:val="20"/>
              </w:rPr>
              <w:t>0,030</w:t>
            </w:r>
          </w:p>
        </w:tc>
        <w:tc>
          <w:tcPr>
            <w:tcW w:w="900" w:type="dxa"/>
          </w:tcPr>
          <w:p>
            <w:pPr>
              <w:pStyle w:val="TableParagraph"/>
              <w:spacing w:line="229" w:lineRule="exact" w:before="65"/>
              <w:ind w:left="15"/>
              <w:rPr>
                <w:sz w:val="20"/>
              </w:rPr>
            </w:pPr>
            <w:r>
              <w:rPr>
                <w:sz w:val="20"/>
              </w:rPr>
              <w:t>19</w:t>
            </w:r>
          </w:p>
        </w:tc>
        <w:tc>
          <w:tcPr>
            <w:tcW w:w="900" w:type="dxa"/>
          </w:tcPr>
          <w:p>
            <w:pPr>
              <w:pStyle w:val="TableParagraph"/>
              <w:spacing w:line="229" w:lineRule="exact" w:before="65"/>
              <w:ind w:left="14"/>
              <w:rPr>
                <w:sz w:val="20"/>
              </w:rPr>
            </w:pPr>
            <w:r>
              <w:rPr>
                <w:sz w:val="20"/>
              </w:rPr>
              <w:t>0,011</w:t>
            </w:r>
          </w:p>
        </w:tc>
        <w:tc>
          <w:tcPr>
            <w:tcW w:w="720" w:type="dxa"/>
          </w:tcPr>
          <w:p>
            <w:pPr>
              <w:pStyle w:val="TableParagraph"/>
              <w:spacing w:line="229" w:lineRule="exact" w:before="65"/>
              <w:ind w:left="5"/>
              <w:rPr>
                <w:sz w:val="20"/>
              </w:rPr>
            </w:pPr>
            <w:r>
              <w:rPr>
                <w:sz w:val="20"/>
              </w:rPr>
              <w:t>22.2</w:t>
            </w:r>
          </w:p>
        </w:tc>
        <w:tc>
          <w:tcPr>
            <w:tcW w:w="1080" w:type="dxa"/>
          </w:tcPr>
          <w:p>
            <w:pPr>
              <w:pStyle w:val="TableParagraph"/>
              <w:spacing w:line="229" w:lineRule="exact" w:before="65"/>
              <w:rPr>
                <w:sz w:val="20"/>
              </w:rPr>
            </w:pPr>
            <w:r>
              <w:rPr>
                <w:sz w:val="20"/>
              </w:rPr>
              <w:t>0,015</w:t>
            </w:r>
          </w:p>
        </w:tc>
        <w:tc>
          <w:tcPr>
            <w:tcW w:w="900" w:type="dxa"/>
          </w:tcPr>
          <w:p>
            <w:pPr>
              <w:pStyle w:val="TableParagraph"/>
              <w:spacing w:line="229" w:lineRule="exact" w:before="65"/>
              <w:ind w:left="5"/>
              <w:rPr>
                <w:sz w:val="20"/>
              </w:rPr>
            </w:pPr>
            <w:r>
              <w:rPr>
                <w:sz w:val="20"/>
              </w:rPr>
              <w:t>15</w:t>
            </w:r>
          </w:p>
        </w:tc>
        <w:tc>
          <w:tcPr>
            <w:tcW w:w="900" w:type="dxa"/>
          </w:tcPr>
          <w:p>
            <w:pPr>
              <w:pStyle w:val="TableParagraph"/>
              <w:spacing w:line="229" w:lineRule="exact" w:before="65"/>
              <w:rPr>
                <w:sz w:val="20"/>
              </w:rPr>
            </w:pPr>
            <w:r>
              <w:rPr>
                <w:sz w:val="20"/>
              </w:rPr>
              <w:t>0,102</w:t>
            </w:r>
          </w:p>
        </w:tc>
        <w:tc>
          <w:tcPr>
            <w:tcW w:w="72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r>
      <w:tr>
        <w:trPr>
          <w:trHeight w:val="316" w:hRule="atLeast"/>
        </w:trPr>
        <w:tc>
          <w:tcPr>
            <w:tcW w:w="914" w:type="dxa"/>
          </w:tcPr>
          <w:p>
            <w:pPr>
              <w:pStyle w:val="TableParagraph"/>
              <w:spacing w:line="229" w:lineRule="exact" w:before="67"/>
              <w:rPr>
                <w:sz w:val="20"/>
              </w:rPr>
            </w:pPr>
            <w:r>
              <w:rPr>
                <w:sz w:val="20"/>
              </w:rPr>
              <w:t>23</w:t>
            </w:r>
          </w:p>
        </w:tc>
        <w:tc>
          <w:tcPr>
            <w:tcW w:w="900" w:type="dxa"/>
          </w:tcPr>
          <w:p>
            <w:pPr>
              <w:pStyle w:val="TableParagraph"/>
              <w:spacing w:line="229" w:lineRule="exact" w:before="67"/>
              <w:ind w:left="5"/>
              <w:rPr>
                <w:sz w:val="20"/>
              </w:rPr>
            </w:pPr>
            <w:r>
              <w:rPr>
                <w:sz w:val="20"/>
              </w:rPr>
              <w:t>0,097</w:t>
            </w:r>
          </w:p>
        </w:tc>
        <w:tc>
          <w:tcPr>
            <w:tcW w:w="900" w:type="dxa"/>
          </w:tcPr>
          <w:p>
            <w:pPr>
              <w:pStyle w:val="TableParagraph"/>
              <w:spacing w:line="229" w:lineRule="exact" w:before="67"/>
              <w:ind w:left="15"/>
              <w:rPr>
                <w:sz w:val="20"/>
              </w:rPr>
            </w:pPr>
            <w:r>
              <w:rPr>
                <w:sz w:val="20"/>
              </w:rPr>
              <w:t>20</w:t>
            </w:r>
          </w:p>
        </w:tc>
        <w:tc>
          <w:tcPr>
            <w:tcW w:w="900" w:type="dxa"/>
          </w:tcPr>
          <w:p>
            <w:pPr>
              <w:pStyle w:val="TableParagraph"/>
              <w:spacing w:line="229" w:lineRule="exact" w:before="67"/>
              <w:ind w:left="14"/>
              <w:rPr>
                <w:sz w:val="20"/>
              </w:rPr>
            </w:pPr>
            <w:r>
              <w:rPr>
                <w:sz w:val="20"/>
              </w:rPr>
              <w:t>0,002</w:t>
            </w:r>
          </w:p>
        </w:tc>
        <w:tc>
          <w:tcPr>
            <w:tcW w:w="720" w:type="dxa"/>
          </w:tcPr>
          <w:p>
            <w:pPr>
              <w:pStyle w:val="TableParagraph"/>
              <w:spacing w:line="229" w:lineRule="exact" w:before="67"/>
              <w:ind w:left="5"/>
              <w:rPr>
                <w:sz w:val="20"/>
              </w:rPr>
            </w:pPr>
            <w:r>
              <w:rPr>
                <w:sz w:val="20"/>
              </w:rPr>
              <w:t>23</w:t>
            </w:r>
          </w:p>
        </w:tc>
        <w:tc>
          <w:tcPr>
            <w:tcW w:w="1080" w:type="dxa"/>
          </w:tcPr>
          <w:p>
            <w:pPr>
              <w:pStyle w:val="TableParagraph"/>
              <w:spacing w:line="229" w:lineRule="exact" w:before="67"/>
              <w:rPr>
                <w:sz w:val="20"/>
              </w:rPr>
            </w:pPr>
            <w:r>
              <w:rPr>
                <w:sz w:val="20"/>
              </w:rPr>
              <w:t>0,136</w:t>
            </w:r>
          </w:p>
        </w:tc>
        <w:tc>
          <w:tcPr>
            <w:tcW w:w="900" w:type="dxa"/>
          </w:tcPr>
          <w:p>
            <w:pPr>
              <w:pStyle w:val="TableParagraph"/>
              <w:spacing w:line="229" w:lineRule="exact" w:before="67"/>
              <w:ind w:left="5"/>
              <w:rPr>
                <w:sz w:val="20"/>
              </w:rPr>
            </w:pPr>
            <w:r>
              <w:rPr>
                <w:sz w:val="20"/>
              </w:rPr>
              <w:t>16</w:t>
            </w:r>
          </w:p>
        </w:tc>
        <w:tc>
          <w:tcPr>
            <w:tcW w:w="900" w:type="dxa"/>
          </w:tcPr>
          <w:p>
            <w:pPr>
              <w:pStyle w:val="TableParagraph"/>
              <w:spacing w:line="229" w:lineRule="exact" w:before="67"/>
              <w:rPr>
                <w:sz w:val="20"/>
              </w:rPr>
            </w:pPr>
            <w:r>
              <w:rPr>
                <w:sz w:val="20"/>
              </w:rPr>
              <w:t>0,028</w:t>
            </w:r>
          </w:p>
        </w:tc>
        <w:tc>
          <w:tcPr>
            <w:tcW w:w="72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r>
      <w:tr>
        <w:trPr>
          <w:trHeight w:val="314" w:hRule="atLeast"/>
        </w:trPr>
        <w:tc>
          <w:tcPr>
            <w:tcW w:w="914" w:type="dxa"/>
          </w:tcPr>
          <w:p>
            <w:pPr>
              <w:pStyle w:val="TableParagraph"/>
              <w:spacing w:line="229" w:lineRule="exact" w:before="65"/>
              <w:rPr>
                <w:sz w:val="20"/>
              </w:rPr>
            </w:pPr>
            <w:r>
              <w:rPr>
                <w:sz w:val="20"/>
              </w:rPr>
              <w:t>24</w:t>
            </w:r>
          </w:p>
        </w:tc>
        <w:tc>
          <w:tcPr>
            <w:tcW w:w="900" w:type="dxa"/>
          </w:tcPr>
          <w:p>
            <w:pPr>
              <w:pStyle w:val="TableParagraph"/>
              <w:spacing w:line="229" w:lineRule="exact" w:before="65"/>
              <w:ind w:left="5"/>
              <w:rPr>
                <w:sz w:val="20"/>
              </w:rPr>
            </w:pPr>
            <w:r>
              <w:rPr>
                <w:sz w:val="20"/>
              </w:rPr>
              <w:t>0,095</w:t>
            </w: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line="229" w:lineRule="exact" w:before="65"/>
              <w:ind w:left="5"/>
              <w:rPr>
                <w:sz w:val="20"/>
              </w:rPr>
            </w:pPr>
            <w:r>
              <w:rPr>
                <w:sz w:val="20"/>
              </w:rPr>
              <w:t>23.2</w:t>
            </w:r>
          </w:p>
        </w:tc>
        <w:tc>
          <w:tcPr>
            <w:tcW w:w="1080" w:type="dxa"/>
          </w:tcPr>
          <w:p>
            <w:pPr>
              <w:pStyle w:val="TableParagraph"/>
              <w:spacing w:line="229" w:lineRule="exact" w:before="65"/>
              <w:ind w:left="5"/>
              <w:rPr>
                <w:sz w:val="20"/>
              </w:rPr>
            </w:pPr>
            <w:r>
              <w:rPr>
                <w:sz w:val="20"/>
              </w:rPr>
              <w:t>0,006</w:t>
            </w:r>
          </w:p>
        </w:tc>
        <w:tc>
          <w:tcPr>
            <w:tcW w:w="900" w:type="dxa"/>
          </w:tcPr>
          <w:p>
            <w:pPr>
              <w:pStyle w:val="TableParagraph"/>
              <w:spacing w:line="229" w:lineRule="exact" w:before="65"/>
              <w:ind w:left="5"/>
              <w:rPr>
                <w:sz w:val="20"/>
              </w:rPr>
            </w:pPr>
            <w:r>
              <w:rPr>
                <w:sz w:val="20"/>
              </w:rPr>
              <w:t>17</w:t>
            </w:r>
          </w:p>
        </w:tc>
        <w:tc>
          <w:tcPr>
            <w:tcW w:w="900" w:type="dxa"/>
          </w:tcPr>
          <w:p>
            <w:pPr>
              <w:pStyle w:val="TableParagraph"/>
              <w:spacing w:line="229" w:lineRule="exact" w:before="65"/>
              <w:rPr>
                <w:sz w:val="20"/>
              </w:rPr>
            </w:pPr>
            <w:r>
              <w:rPr>
                <w:sz w:val="20"/>
              </w:rPr>
              <w:t>0,002</w:t>
            </w:r>
          </w:p>
        </w:tc>
        <w:tc>
          <w:tcPr>
            <w:tcW w:w="72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r>
      <w:tr>
        <w:trPr>
          <w:trHeight w:val="316" w:hRule="atLeast"/>
        </w:trPr>
        <w:tc>
          <w:tcPr>
            <w:tcW w:w="914" w:type="dxa"/>
          </w:tcPr>
          <w:p>
            <w:pPr>
              <w:pStyle w:val="TableParagraph"/>
              <w:spacing w:line="229" w:lineRule="exact" w:before="67"/>
              <w:rPr>
                <w:sz w:val="20"/>
              </w:rPr>
            </w:pPr>
            <w:r>
              <w:rPr>
                <w:sz w:val="20"/>
              </w:rPr>
              <w:t>25</w:t>
            </w:r>
          </w:p>
        </w:tc>
        <w:tc>
          <w:tcPr>
            <w:tcW w:w="900" w:type="dxa"/>
          </w:tcPr>
          <w:p>
            <w:pPr>
              <w:pStyle w:val="TableParagraph"/>
              <w:spacing w:line="229" w:lineRule="exact" w:before="67"/>
              <w:ind w:left="5"/>
              <w:rPr>
                <w:sz w:val="20"/>
              </w:rPr>
            </w:pPr>
            <w:r>
              <w:rPr>
                <w:sz w:val="20"/>
              </w:rPr>
              <w:t>0,117</w:t>
            </w: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line="229" w:lineRule="exact" w:before="67"/>
              <w:ind w:left="5"/>
              <w:rPr>
                <w:sz w:val="20"/>
              </w:rPr>
            </w:pPr>
            <w:r>
              <w:rPr>
                <w:sz w:val="20"/>
              </w:rPr>
              <w:t>24</w:t>
            </w:r>
          </w:p>
        </w:tc>
        <w:tc>
          <w:tcPr>
            <w:tcW w:w="1080" w:type="dxa"/>
          </w:tcPr>
          <w:p>
            <w:pPr>
              <w:pStyle w:val="TableParagraph"/>
              <w:spacing w:line="229" w:lineRule="exact" w:before="67"/>
              <w:ind w:left="5"/>
              <w:rPr>
                <w:sz w:val="20"/>
              </w:rPr>
            </w:pPr>
            <w:r>
              <w:rPr>
                <w:sz w:val="20"/>
              </w:rPr>
              <w:t>0,158</w:t>
            </w:r>
          </w:p>
        </w:tc>
        <w:tc>
          <w:tcPr>
            <w:tcW w:w="900" w:type="dxa"/>
          </w:tcPr>
          <w:p>
            <w:pPr>
              <w:pStyle w:val="TableParagraph"/>
              <w:spacing w:line="229" w:lineRule="exact" w:before="67"/>
              <w:ind w:left="5"/>
              <w:rPr>
                <w:sz w:val="20"/>
              </w:rPr>
            </w:pPr>
            <w:r>
              <w:rPr>
                <w:sz w:val="20"/>
              </w:rPr>
              <w:t>18</w:t>
            </w:r>
          </w:p>
        </w:tc>
        <w:tc>
          <w:tcPr>
            <w:tcW w:w="900" w:type="dxa"/>
          </w:tcPr>
          <w:p>
            <w:pPr>
              <w:pStyle w:val="TableParagraph"/>
              <w:spacing w:line="229" w:lineRule="exact" w:before="67"/>
              <w:rPr>
                <w:sz w:val="20"/>
              </w:rPr>
            </w:pPr>
            <w:r>
              <w:rPr>
                <w:sz w:val="20"/>
              </w:rPr>
              <w:t>0,000</w:t>
            </w:r>
          </w:p>
        </w:tc>
        <w:tc>
          <w:tcPr>
            <w:tcW w:w="72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r>
      <w:tr>
        <w:trPr>
          <w:trHeight w:val="314" w:hRule="atLeast"/>
        </w:trPr>
        <w:tc>
          <w:tcPr>
            <w:tcW w:w="914" w:type="dxa"/>
          </w:tcPr>
          <w:p>
            <w:pPr>
              <w:pStyle w:val="TableParagraph"/>
              <w:spacing w:line="229" w:lineRule="exact" w:before="65"/>
              <w:rPr>
                <w:sz w:val="20"/>
              </w:rPr>
            </w:pPr>
            <w:r>
              <w:rPr>
                <w:sz w:val="20"/>
              </w:rPr>
              <w:t>26</w:t>
            </w:r>
          </w:p>
        </w:tc>
        <w:tc>
          <w:tcPr>
            <w:tcW w:w="900" w:type="dxa"/>
          </w:tcPr>
          <w:p>
            <w:pPr>
              <w:pStyle w:val="TableParagraph"/>
              <w:spacing w:line="229" w:lineRule="exact" w:before="65"/>
              <w:ind w:left="5"/>
              <w:rPr>
                <w:sz w:val="20"/>
              </w:rPr>
            </w:pPr>
            <w:r>
              <w:rPr>
                <w:sz w:val="20"/>
              </w:rPr>
              <w:t>0,017</w:t>
            </w: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line="229" w:lineRule="exact" w:before="65"/>
              <w:ind w:left="5"/>
              <w:rPr>
                <w:sz w:val="20"/>
              </w:rPr>
            </w:pPr>
            <w:r>
              <w:rPr>
                <w:sz w:val="20"/>
              </w:rPr>
              <w:t>25</w:t>
            </w:r>
          </w:p>
        </w:tc>
        <w:tc>
          <w:tcPr>
            <w:tcW w:w="1080" w:type="dxa"/>
          </w:tcPr>
          <w:p>
            <w:pPr>
              <w:pStyle w:val="TableParagraph"/>
              <w:spacing w:line="229" w:lineRule="exact" w:before="65"/>
              <w:ind w:left="5"/>
              <w:rPr>
                <w:sz w:val="20"/>
              </w:rPr>
            </w:pPr>
            <w:r>
              <w:rPr>
                <w:sz w:val="20"/>
              </w:rPr>
              <w:t>0,074</w:t>
            </w: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r>
      <w:tr>
        <w:trPr>
          <w:trHeight w:val="313" w:hRule="atLeast"/>
        </w:trPr>
        <w:tc>
          <w:tcPr>
            <w:tcW w:w="914" w:type="dxa"/>
          </w:tcPr>
          <w:p>
            <w:pPr>
              <w:pStyle w:val="TableParagraph"/>
              <w:spacing w:line="229" w:lineRule="exact" w:before="65"/>
              <w:rPr>
                <w:sz w:val="20"/>
              </w:rPr>
            </w:pPr>
            <w:r>
              <w:rPr>
                <w:sz w:val="20"/>
              </w:rPr>
              <w:t>27</w:t>
            </w:r>
          </w:p>
        </w:tc>
        <w:tc>
          <w:tcPr>
            <w:tcW w:w="900" w:type="dxa"/>
          </w:tcPr>
          <w:p>
            <w:pPr>
              <w:pStyle w:val="TableParagraph"/>
              <w:spacing w:line="229" w:lineRule="exact" w:before="65"/>
              <w:ind w:left="5"/>
              <w:rPr>
                <w:sz w:val="20"/>
              </w:rPr>
            </w:pPr>
            <w:r>
              <w:rPr>
                <w:sz w:val="20"/>
              </w:rPr>
              <w:t>0,002</w:t>
            </w: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line="229" w:lineRule="exact" w:before="65"/>
              <w:ind w:left="5"/>
              <w:rPr>
                <w:sz w:val="20"/>
              </w:rPr>
            </w:pPr>
            <w:r>
              <w:rPr>
                <w:sz w:val="20"/>
              </w:rPr>
              <w:t>25.2</w:t>
            </w:r>
          </w:p>
        </w:tc>
        <w:tc>
          <w:tcPr>
            <w:tcW w:w="1080" w:type="dxa"/>
          </w:tcPr>
          <w:p>
            <w:pPr>
              <w:pStyle w:val="TableParagraph"/>
              <w:spacing w:line="229" w:lineRule="exact" w:before="65"/>
              <w:ind w:left="5"/>
              <w:rPr>
                <w:sz w:val="20"/>
              </w:rPr>
            </w:pPr>
            <w:r>
              <w:rPr>
                <w:sz w:val="20"/>
              </w:rPr>
              <w:t>0,000</w:t>
            </w: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r>
      <w:tr>
        <w:trPr>
          <w:trHeight w:val="316" w:hRule="atLeast"/>
        </w:trPr>
        <w:tc>
          <w:tcPr>
            <w:tcW w:w="914"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line="229" w:lineRule="exact" w:before="67"/>
              <w:rPr>
                <w:sz w:val="20"/>
              </w:rPr>
            </w:pPr>
            <w:r>
              <w:rPr>
                <w:sz w:val="20"/>
              </w:rPr>
              <w:t>26</w:t>
            </w:r>
          </w:p>
        </w:tc>
        <w:tc>
          <w:tcPr>
            <w:tcW w:w="1080" w:type="dxa"/>
          </w:tcPr>
          <w:p>
            <w:pPr>
              <w:pStyle w:val="TableParagraph"/>
              <w:spacing w:line="229" w:lineRule="exact" w:before="67"/>
              <w:rPr>
                <w:sz w:val="20"/>
              </w:rPr>
            </w:pPr>
            <w:r>
              <w:rPr>
                <w:sz w:val="20"/>
              </w:rPr>
              <w:t>0,028</w:t>
            </w: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r>
      <w:tr>
        <w:trPr>
          <w:trHeight w:val="313" w:hRule="atLeast"/>
        </w:trPr>
        <w:tc>
          <w:tcPr>
            <w:tcW w:w="914"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line="229" w:lineRule="exact" w:before="65"/>
              <w:rPr>
                <w:sz w:val="20"/>
              </w:rPr>
            </w:pPr>
            <w:r>
              <w:rPr>
                <w:sz w:val="20"/>
              </w:rPr>
              <w:t>27</w:t>
            </w:r>
          </w:p>
        </w:tc>
        <w:tc>
          <w:tcPr>
            <w:tcW w:w="1080" w:type="dxa"/>
          </w:tcPr>
          <w:p>
            <w:pPr>
              <w:pStyle w:val="TableParagraph"/>
              <w:spacing w:line="229" w:lineRule="exact" w:before="65"/>
              <w:rPr>
                <w:sz w:val="20"/>
              </w:rPr>
            </w:pPr>
            <w:r>
              <w:rPr>
                <w:sz w:val="20"/>
              </w:rPr>
              <w:t>0,013</w:t>
            </w: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r>
      <w:tr>
        <w:trPr>
          <w:trHeight w:val="316" w:hRule="atLeast"/>
        </w:trPr>
        <w:tc>
          <w:tcPr>
            <w:tcW w:w="914"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line="229" w:lineRule="exact" w:before="67"/>
              <w:rPr>
                <w:sz w:val="20"/>
              </w:rPr>
            </w:pPr>
            <w:r>
              <w:rPr>
                <w:sz w:val="20"/>
              </w:rPr>
              <w:t>28</w:t>
            </w:r>
          </w:p>
        </w:tc>
        <w:tc>
          <w:tcPr>
            <w:tcW w:w="1080" w:type="dxa"/>
          </w:tcPr>
          <w:p>
            <w:pPr>
              <w:pStyle w:val="TableParagraph"/>
              <w:spacing w:line="229" w:lineRule="exact" w:before="67"/>
              <w:rPr>
                <w:sz w:val="20"/>
              </w:rPr>
            </w:pPr>
            <w:r>
              <w:rPr>
                <w:sz w:val="20"/>
              </w:rPr>
              <w:t>0,002</w:t>
            </w: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r>
      <w:tr>
        <w:trPr>
          <w:trHeight w:val="313" w:hRule="atLeast"/>
        </w:trPr>
        <w:tc>
          <w:tcPr>
            <w:tcW w:w="914"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line="229" w:lineRule="exact" w:before="65"/>
              <w:rPr>
                <w:sz w:val="20"/>
              </w:rPr>
            </w:pPr>
            <w:r>
              <w:rPr>
                <w:sz w:val="20"/>
              </w:rPr>
              <w:t>29</w:t>
            </w:r>
          </w:p>
        </w:tc>
        <w:tc>
          <w:tcPr>
            <w:tcW w:w="1080" w:type="dxa"/>
          </w:tcPr>
          <w:p>
            <w:pPr>
              <w:pStyle w:val="TableParagraph"/>
              <w:spacing w:line="229" w:lineRule="exact" w:before="65"/>
              <w:rPr>
                <w:sz w:val="20"/>
              </w:rPr>
            </w:pPr>
            <w:r>
              <w:rPr>
                <w:sz w:val="20"/>
              </w:rPr>
              <w:t>0,000</w:t>
            </w: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r>
      <w:tr>
        <w:trPr>
          <w:trHeight w:val="316" w:hRule="atLeast"/>
        </w:trPr>
        <w:tc>
          <w:tcPr>
            <w:tcW w:w="914"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line="229" w:lineRule="exact" w:before="67"/>
              <w:rPr>
                <w:sz w:val="20"/>
              </w:rPr>
            </w:pPr>
            <w:r>
              <w:rPr>
                <w:sz w:val="20"/>
              </w:rPr>
              <w:t>31.2</w:t>
            </w:r>
          </w:p>
        </w:tc>
        <w:tc>
          <w:tcPr>
            <w:tcW w:w="1080" w:type="dxa"/>
          </w:tcPr>
          <w:p>
            <w:pPr>
              <w:pStyle w:val="TableParagraph"/>
              <w:spacing w:line="229" w:lineRule="exact" w:before="67"/>
              <w:rPr>
                <w:sz w:val="20"/>
              </w:rPr>
            </w:pPr>
            <w:r>
              <w:rPr>
                <w:sz w:val="20"/>
              </w:rPr>
              <w:t>0,000</w:t>
            </w: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r>
      <w:tr>
        <w:trPr>
          <w:trHeight w:val="313" w:hRule="atLeast"/>
        </w:trPr>
        <w:tc>
          <w:tcPr>
            <w:tcW w:w="914"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line="229" w:lineRule="exact" w:before="65"/>
              <w:rPr>
                <w:sz w:val="20"/>
              </w:rPr>
            </w:pPr>
            <w:r>
              <w:rPr>
                <w:sz w:val="20"/>
              </w:rPr>
              <w:t>45.2</w:t>
            </w:r>
          </w:p>
        </w:tc>
        <w:tc>
          <w:tcPr>
            <w:tcW w:w="1080" w:type="dxa"/>
          </w:tcPr>
          <w:p>
            <w:pPr>
              <w:pStyle w:val="TableParagraph"/>
              <w:spacing w:line="229" w:lineRule="exact" w:before="65"/>
              <w:rPr>
                <w:sz w:val="20"/>
              </w:rPr>
            </w:pPr>
            <w:r>
              <w:rPr>
                <w:sz w:val="20"/>
              </w:rPr>
              <w:t>0,000</w:t>
            </w: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r>
    </w:tbl>
    <w:p>
      <w:pPr>
        <w:spacing w:line="261" w:lineRule="auto" w:before="13"/>
        <w:ind w:left="957" w:right="922" w:firstLine="0"/>
        <w:jc w:val="left"/>
        <w:rPr>
          <w:i/>
          <w:sz w:val="24"/>
        </w:rPr>
      </w:pPr>
      <w:r>
        <w:rPr>
          <w:i/>
          <w:sz w:val="24"/>
        </w:rPr>
        <w:t>Figuur 11: Frequenties voor Nederland van DNA-kenmerken D2S1338, </w:t>
      </w:r>
      <w:r>
        <w:rPr>
          <w:i/>
          <w:sz w:val="24"/>
        </w:rPr>
        <w:t>D3S1358, FGA, D8S1179 en THO1</w:t>
      </w:r>
    </w:p>
    <w:p>
      <w:pPr>
        <w:pStyle w:val="BodyText"/>
        <w:spacing w:before="3"/>
        <w:ind w:left="0"/>
        <w:rPr>
          <w:i/>
        </w:rPr>
      </w:pPr>
    </w:p>
    <w:tbl>
      <w:tblPr>
        <w:tblW w:w="0" w:type="auto"/>
        <w:jc w:val="left"/>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9"/>
        <w:gridCol w:w="900"/>
        <w:gridCol w:w="900"/>
        <w:gridCol w:w="900"/>
        <w:gridCol w:w="720"/>
        <w:gridCol w:w="1080"/>
        <w:gridCol w:w="900"/>
        <w:gridCol w:w="900"/>
        <w:gridCol w:w="720"/>
        <w:gridCol w:w="900"/>
      </w:tblGrid>
      <w:tr>
        <w:trPr>
          <w:trHeight w:val="316" w:hRule="atLeast"/>
        </w:trPr>
        <w:tc>
          <w:tcPr>
            <w:tcW w:w="919" w:type="dxa"/>
          </w:tcPr>
          <w:p>
            <w:pPr>
              <w:pStyle w:val="TableParagraph"/>
              <w:spacing w:line="199" w:lineRule="exact" w:before="97"/>
              <w:ind w:left="14"/>
              <w:rPr>
                <w:sz w:val="18"/>
              </w:rPr>
            </w:pPr>
            <w:r>
              <w:rPr>
                <w:sz w:val="18"/>
              </w:rPr>
              <w:t>VWA</w:t>
            </w:r>
          </w:p>
        </w:tc>
        <w:tc>
          <w:tcPr>
            <w:tcW w:w="900" w:type="dxa"/>
          </w:tcPr>
          <w:p>
            <w:pPr>
              <w:pStyle w:val="TableParagraph"/>
              <w:spacing w:line="199" w:lineRule="exact" w:before="97"/>
              <w:ind w:left="14"/>
              <w:rPr>
                <w:sz w:val="18"/>
              </w:rPr>
            </w:pPr>
            <w:r>
              <w:rPr>
                <w:sz w:val="18"/>
              </w:rPr>
              <w:t>frequentie</w:t>
            </w:r>
          </w:p>
        </w:tc>
        <w:tc>
          <w:tcPr>
            <w:tcW w:w="900" w:type="dxa"/>
          </w:tcPr>
          <w:p>
            <w:pPr>
              <w:pStyle w:val="TableParagraph"/>
              <w:spacing w:line="199" w:lineRule="exact" w:before="97"/>
              <w:ind w:left="14"/>
              <w:rPr>
                <w:sz w:val="18"/>
              </w:rPr>
            </w:pPr>
            <w:r>
              <w:rPr>
                <w:sz w:val="18"/>
              </w:rPr>
              <w:t>D16S539</w:t>
            </w:r>
          </w:p>
        </w:tc>
        <w:tc>
          <w:tcPr>
            <w:tcW w:w="900" w:type="dxa"/>
          </w:tcPr>
          <w:p>
            <w:pPr>
              <w:pStyle w:val="TableParagraph"/>
              <w:spacing w:line="199" w:lineRule="exact" w:before="97"/>
              <w:ind w:left="13"/>
              <w:rPr>
                <w:sz w:val="18"/>
              </w:rPr>
            </w:pPr>
            <w:r>
              <w:rPr>
                <w:sz w:val="18"/>
              </w:rPr>
              <w:t>frequentie</w:t>
            </w:r>
          </w:p>
        </w:tc>
        <w:tc>
          <w:tcPr>
            <w:tcW w:w="720" w:type="dxa"/>
          </w:tcPr>
          <w:p>
            <w:pPr>
              <w:pStyle w:val="TableParagraph"/>
              <w:spacing w:line="199" w:lineRule="exact" w:before="97"/>
              <w:rPr>
                <w:sz w:val="18"/>
              </w:rPr>
            </w:pPr>
            <w:r>
              <w:rPr>
                <w:sz w:val="18"/>
              </w:rPr>
              <w:t>D18S51</w:t>
            </w:r>
          </w:p>
        </w:tc>
        <w:tc>
          <w:tcPr>
            <w:tcW w:w="1080" w:type="dxa"/>
          </w:tcPr>
          <w:p>
            <w:pPr>
              <w:pStyle w:val="TableParagraph"/>
              <w:spacing w:line="199" w:lineRule="exact" w:before="97"/>
              <w:rPr>
                <w:sz w:val="18"/>
              </w:rPr>
            </w:pPr>
            <w:r>
              <w:rPr>
                <w:sz w:val="18"/>
              </w:rPr>
              <w:t>frequentie</w:t>
            </w:r>
          </w:p>
        </w:tc>
        <w:tc>
          <w:tcPr>
            <w:tcW w:w="900" w:type="dxa"/>
          </w:tcPr>
          <w:p>
            <w:pPr>
              <w:pStyle w:val="TableParagraph"/>
              <w:spacing w:line="199" w:lineRule="exact" w:before="97"/>
              <w:rPr>
                <w:sz w:val="18"/>
              </w:rPr>
            </w:pPr>
            <w:r>
              <w:rPr>
                <w:sz w:val="18"/>
              </w:rPr>
              <w:t>D19S433</w:t>
            </w:r>
          </w:p>
        </w:tc>
        <w:tc>
          <w:tcPr>
            <w:tcW w:w="900" w:type="dxa"/>
          </w:tcPr>
          <w:p>
            <w:pPr>
              <w:pStyle w:val="TableParagraph"/>
              <w:spacing w:line="199" w:lineRule="exact" w:before="97"/>
              <w:rPr>
                <w:sz w:val="18"/>
              </w:rPr>
            </w:pPr>
            <w:r>
              <w:rPr>
                <w:sz w:val="18"/>
              </w:rPr>
              <w:t>frequentie</w:t>
            </w:r>
          </w:p>
        </w:tc>
        <w:tc>
          <w:tcPr>
            <w:tcW w:w="720" w:type="dxa"/>
          </w:tcPr>
          <w:p>
            <w:pPr>
              <w:pStyle w:val="TableParagraph"/>
              <w:spacing w:line="199" w:lineRule="exact" w:before="97"/>
              <w:rPr>
                <w:sz w:val="18"/>
              </w:rPr>
            </w:pPr>
            <w:r>
              <w:rPr>
                <w:sz w:val="18"/>
              </w:rPr>
              <w:t>D21S11</w:t>
            </w:r>
          </w:p>
        </w:tc>
        <w:tc>
          <w:tcPr>
            <w:tcW w:w="900" w:type="dxa"/>
          </w:tcPr>
          <w:p>
            <w:pPr>
              <w:pStyle w:val="TableParagraph"/>
              <w:spacing w:line="199" w:lineRule="exact" w:before="97"/>
              <w:rPr>
                <w:sz w:val="18"/>
              </w:rPr>
            </w:pPr>
            <w:r>
              <w:rPr>
                <w:sz w:val="18"/>
              </w:rPr>
              <w:t>frequentie</w:t>
            </w:r>
          </w:p>
        </w:tc>
      </w:tr>
      <w:tr>
        <w:trPr>
          <w:trHeight w:val="314" w:hRule="atLeast"/>
        </w:trPr>
        <w:tc>
          <w:tcPr>
            <w:tcW w:w="919" w:type="dxa"/>
          </w:tcPr>
          <w:p>
            <w:pPr>
              <w:pStyle w:val="TableParagraph"/>
              <w:spacing w:before="71"/>
              <w:ind w:left="14"/>
              <w:rPr>
                <w:sz w:val="20"/>
              </w:rPr>
            </w:pPr>
            <w:r>
              <w:rPr>
                <w:sz w:val="20"/>
              </w:rPr>
              <w:t>11</w:t>
            </w:r>
          </w:p>
        </w:tc>
        <w:tc>
          <w:tcPr>
            <w:tcW w:w="900" w:type="dxa"/>
          </w:tcPr>
          <w:p>
            <w:pPr>
              <w:pStyle w:val="TableParagraph"/>
              <w:spacing w:before="71"/>
              <w:ind w:left="14"/>
              <w:rPr>
                <w:sz w:val="20"/>
              </w:rPr>
            </w:pPr>
            <w:r>
              <w:rPr>
                <w:sz w:val="20"/>
              </w:rPr>
              <w:t>0,000</w:t>
            </w:r>
          </w:p>
        </w:tc>
        <w:tc>
          <w:tcPr>
            <w:tcW w:w="900" w:type="dxa"/>
          </w:tcPr>
          <w:p>
            <w:pPr>
              <w:pStyle w:val="TableParagraph"/>
              <w:spacing w:before="71"/>
              <w:ind w:left="13"/>
              <w:rPr>
                <w:sz w:val="20"/>
              </w:rPr>
            </w:pPr>
            <w:r>
              <w:rPr>
                <w:w w:val="99"/>
                <w:sz w:val="20"/>
              </w:rPr>
              <w:t>8</w:t>
            </w:r>
          </w:p>
        </w:tc>
        <w:tc>
          <w:tcPr>
            <w:tcW w:w="900" w:type="dxa"/>
          </w:tcPr>
          <w:p>
            <w:pPr>
              <w:pStyle w:val="TableParagraph"/>
              <w:spacing w:before="71"/>
              <w:ind w:left="14"/>
              <w:rPr>
                <w:sz w:val="20"/>
              </w:rPr>
            </w:pPr>
            <w:r>
              <w:rPr>
                <w:sz w:val="20"/>
              </w:rPr>
              <w:t>0,015</w:t>
            </w:r>
          </w:p>
        </w:tc>
        <w:tc>
          <w:tcPr>
            <w:tcW w:w="720" w:type="dxa"/>
          </w:tcPr>
          <w:p>
            <w:pPr>
              <w:pStyle w:val="TableParagraph"/>
              <w:spacing w:before="71"/>
              <w:ind w:left="5"/>
              <w:rPr>
                <w:sz w:val="20"/>
              </w:rPr>
            </w:pPr>
            <w:r>
              <w:rPr>
                <w:w w:val="99"/>
                <w:sz w:val="20"/>
              </w:rPr>
              <w:t>9</w:t>
            </w:r>
          </w:p>
        </w:tc>
        <w:tc>
          <w:tcPr>
            <w:tcW w:w="1080" w:type="dxa"/>
          </w:tcPr>
          <w:p>
            <w:pPr>
              <w:pStyle w:val="TableParagraph"/>
              <w:spacing w:before="71"/>
              <w:rPr>
                <w:sz w:val="20"/>
              </w:rPr>
            </w:pPr>
            <w:r>
              <w:rPr>
                <w:sz w:val="20"/>
              </w:rPr>
              <w:t>0,000</w:t>
            </w:r>
          </w:p>
        </w:tc>
        <w:tc>
          <w:tcPr>
            <w:tcW w:w="900" w:type="dxa"/>
          </w:tcPr>
          <w:p>
            <w:pPr>
              <w:pStyle w:val="TableParagraph"/>
              <w:spacing w:before="71"/>
              <w:ind w:left="5"/>
              <w:rPr>
                <w:sz w:val="20"/>
              </w:rPr>
            </w:pPr>
            <w:r>
              <w:rPr>
                <w:w w:val="99"/>
                <w:sz w:val="20"/>
              </w:rPr>
              <w:t>9</w:t>
            </w:r>
          </w:p>
        </w:tc>
        <w:tc>
          <w:tcPr>
            <w:tcW w:w="900" w:type="dxa"/>
          </w:tcPr>
          <w:p>
            <w:pPr>
              <w:pStyle w:val="TableParagraph"/>
              <w:spacing w:before="71"/>
              <w:ind w:left="5"/>
              <w:rPr>
                <w:sz w:val="20"/>
              </w:rPr>
            </w:pPr>
            <w:r>
              <w:rPr>
                <w:sz w:val="20"/>
              </w:rPr>
              <w:t>0,000</w:t>
            </w:r>
          </w:p>
        </w:tc>
        <w:tc>
          <w:tcPr>
            <w:tcW w:w="720" w:type="dxa"/>
          </w:tcPr>
          <w:p>
            <w:pPr>
              <w:pStyle w:val="TableParagraph"/>
              <w:spacing w:before="71"/>
              <w:rPr>
                <w:sz w:val="20"/>
              </w:rPr>
            </w:pPr>
            <w:r>
              <w:rPr>
                <w:sz w:val="20"/>
              </w:rPr>
              <w:t>27</w:t>
            </w:r>
          </w:p>
        </w:tc>
        <w:tc>
          <w:tcPr>
            <w:tcW w:w="900" w:type="dxa"/>
          </w:tcPr>
          <w:p>
            <w:pPr>
              <w:pStyle w:val="TableParagraph"/>
              <w:spacing w:before="71"/>
              <w:rPr>
                <w:sz w:val="20"/>
              </w:rPr>
            </w:pPr>
            <w:r>
              <w:rPr>
                <w:sz w:val="20"/>
              </w:rPr>
              <w:t>0,017</w:t>
            </w:r>
          </w:p>
        </w:tc>
      </w:tr>
      <w:tr>
        <w:trPr>
          <w:trHeight w:val="313" w:hRule="atLeast"/>
        </w:trPr>
        <w:tc>
          <w:tcPr>
            <w:tcW w:w="919" w:type="dxa"/>
          </w:tcPr>
          <w:p>
            <w:pPr>
              <w:pStyle w:val="TableParagraph"/>
              <w:spacing w:before="71"/>
              <w:ind w:left="14"/>
              <w:rPr>
                <w:sz w:val="20"/>
              </w:rPr>
            </w:pPr>
            <w:r>
              <w:rPr>
                <w:sz w:val="20"/>
              </w:rPr>
              <w:t>13</w:t>
            </w:r>
          </w:p>
        </w:tc>
        <w:tc>
          <w:tcPr>
            <w:tcW w:w="900" w:type="dxa"/>
          </w:tcPr>
          <w:p>
            <w:pPr>
              <w:pStyle w:val="TableParagraph"/>
              <w:spacing w:before="71"/>
              <w:ind w:left="14"/>
              <w:rPr>
                <w:sz w:val="20"/>
              </w:rPr>
            </w:pPr>
            <w:r>
              <w:rPr>
                <w:sz w:val="20"/>
              </w:rPr>
              <w:t>0,000</w:t>
            </w:r>
          </w:p>
        </w:tc>
        <w:tc>
          <w:tcPr>
            <w:tcW w:w="900" w:type="dxa"/>
          </w:tcPr>
          <w:p>
            <w:pPr>
              <w:pStyle w:val="TableParagraph"/>
              <w:spacing w:before="71"/>
              <w:ind w:left="13"/>
              <w:rPr>
                <w:sz w:val="20"/>
              </w:rPr>
            </w:pPr>
            <w:r>
              <w:rPr>
                <w:w w:val="99"/>
                <w:sz w:val="20"/>
              </w:rPr>
              <w:t>9</w:t>
            </w:r>
          </w:p>
        </w:tc>
        <w:tc>
          <w:tcPr>
            <w:tcW w:w="900" w:type="dxa"/>
          </w:tcPr>
          <w:p>
            <w:pPr>
              <w:pStyle w:val="TableParagraph"/>
              <w:spacing w:before="71"/>
              <w:ind w:left="14"/>
              <w:rPr>
                <w:sz w:val="20"/>
              </w:rPr>
            </w:pPr>
            <w:r>
              <w:rPr>
                <w:sz w:val="20"/>
              </w:rPr>
              <w:t>0,123</w:t>
            </w:r>
          </w:p>
        </w:tc>
        <w:tc>
          <w:tcPr>
            <w:tcW w:w="720" w:type="dxa"/>
          </w:tcPr>
          <w:p>
            <w:pPr>
              <w:pStyle w:val="TableParagraph"/>
              <w:spacing w:before="71"/>
              <w:ind w:left="5"/>
              <w:rPr>
                <w:sz w:val="20"/>
              </w:rPr>
            </w:pPr>
            <w:r>
              <w:rPr>
                <w:sz w:val="20"/>
              </w:rPr>
              <w:t>10</w:t>
            </w:r>
          </w:p>
        </w:tc>
        <w:tc>
          <w:tcPr>
            <w:tcW w:w="1080" w:type="dxa"/>
          </w:tcPr>
          <w:p>
            <w:pPr>
              <w:pStyle w:val="TableParagraph"/>
              <w:spacing w:before="71"/>
              <w:rPr>
                <w:sz w:val="20"/>
              </w:rPr>
            </w:pPr>
            <w:r>
              <w:rPr>
                <w:sz w:val="20"/>
              </w:rPr>
              <w:t>0,011</w:t>
            </w:r>
          </w:p>
        </w:tc>
        <w:tc>
          <w:tcPr>
            <w:tcW w:w="900" w:type="dxa"/>
          </w:tcPr>
          <w:p>
            <w:pPr>
              <w:pStyle w:val="TableParagraph"/>
              <w:spacing w:before="71"/>
              <w:ind w:left="5"/>
              <w:rPr>
                <w:sz w:val="20"/>
              </w:rPr>
            </w:pPr>
            <w:r>
              <w:rPr>
                <w:sz w:val="20"/>
              </w:rPr>
              <w:t>10</w:t>
            </w:r>
          </w:p>
        </w:tc>
        <w:tc>
          <w:tcPr>
            <w:tcW w:w="900" w:type="dxa"/>
          </w:tcPr>
          <w:p>
            <w:pPr>
              <w:pStyle w:val="TableParagraph"/>
              <w:spacing w:before="71"/>
              <w:rPr>
                <w:sz w:val="20"/>
              </w:rPr>
            </w:pPr>
            <w:r>
              <w:rPr>
                <w:sz w:val="20"/>
              </w:rPr>
              <w:t>0,002</w:t>
            </w:r>
          </w:p>
        </w:tc>
        <w:tc>
          <w:tcPr>
            <w:tcW w:w="720" w:type="dxa"/>
          </w:tcPr>
          <w:p>
            <w:pPr>
              <w:pStyle w:val="TableParagraph"/>
              <w:spacing w:before="71"/>
              <w:ind w:left="5"/>
              <w:rPr>
                <w:sz w:val="20"/>
              </w:rPr>
            </w:pPr>
            <w:r>
              <w:rPr>
                <w:sz w:val="20"/>
              </w:rPr>
              <w:t>28</w:t>
            </w:r>
          </w:p>
        </w:tc>
        <w:tc>
          <w:tcPr>
            <w:tcW w:w="900" w:type="dxa"/>
          </w:tcPr>
          <w:p>
            <w:pPr>
              <w:pStyle w:val="TableParagraph"/>
              <w:spacing w:before="71"/>
              <w:rPr>
                <w:sz w:val="20"/>
              </w:rPr>
            </w:pPr>
            <w:r>
              <w:rPr>
                <w:sz w:val="20"/>
              </w:rPr>
              <w:t>0,180</w:t>
            </w:r>
          </w:p>
        </w:tc>
      </w:tr>
      <w:tr>
        <w:trPr>
          <w:trHeight w:val="316" w:hRule="atLeast"/>
        </w:trPr>
        <w:tc>
          <w:tcPr>
            <w:tcW w:w="919" w:type="dxa"/>
          </w:tcPr>
          <w:p>
            <w:pPr>
              <w:pStyle w:val="TableParagraph"/>
              <w:spacing w:before="73"/>
              <w:ind w:left="14"/>
              <w:rPr>
                <w:sz w:val="20"/>
              </w:rPr>
            </w:pPr>
            <w:r>
              <w:rPr>
                <w:sz w:val="20"/>
              </w:rPr>
              <w:t>14</w:t>
            </w:r>
          </w:p>
        </w:tc>
        <w:tc>
          <w:tcPr>
            <w:tcW w:w="900" w:type="dxa"/>
          </w:tcPr>
          <w:p>
            <w:pPr>
              <w:pStyle w:val="TableParagraph"/>
              <w:spacing w:before="73"/>
              <w:ind w:left="14"/>
              <w:rPr>
                <w:sz w:val="20"/>
              </w:rPr>
            </w:pPr>
            <w:r>
              <w:rPr>
                <w:sz w:val="20"/>
              </w:rPr>
              <w:t>0,067</w:t>
            </w:r>
          </w:p>
        </w:tc>
        <w:tc>
          <w:tcPr>
            <w:tcW w:w="900" w:type="dxa"/>
          </w:tcPr>
          <w:p>
            <w:pPr>
              <w:pStyle w:val="TableParagraph"/>
              <w:spacing w:before="73"/>
              <w:ind w:left="13"/>
              <w:rPr>
                <w:sz w:val="20"/>
              </w:rPr>
            </w:pPr>
            <w:r>
              <w:rPr>
                <w:sz w:val="20"/>
              </w:rPr>
              <w:t>10</w:t>
            </w:r>
          </w:p>
        </w:tc>
        <w:tc>
          <w:tcPr>
            <w:tcW w:w="900" w:type="dxa"/>
          </w:tcPr>
          <w:p>
            <w:pPr>
              <w:pStyle w:val="TableParagraph"/>
              <w:spacing w:before="73"/>
              <w:ind w:left="15"/>
              <w:rPr>
                <w:sz w:val="20"/>
              </w:rPr>
            </w:pPr>
            <w:r>
              <w:rPr>
                <w:sz w:val="20"/>
              </w:rPr>
              <w:t>0,067</w:t>
            </w:r>
          </w:p>
        </w:tc>
        <w:tc>
          <w:tcPr>
            <w:tcW w:w="720" w:type="dxa"/>
          </w:tcPr>
          <w:p>
            <w:pPr>
              <w:pStyle w:val="TableParagraph"/>
              <w:spacing w:before="73"/>
              <w:rPr>
                <w:sz w:val="20"/>
              </w:rPr>
            </w:pPr>
            <w:r>
              <w:rPr>
                <w:sz w:val="20"/>
              </w:rPr>
              <w:t>11</w:t>
            </w:r>
          </w:p>
        </w:tc>
        <w:tc>
          <w:tcPr>
            <w:tcW w:w="1080" w:type="dxa"/>
          </w:tcPr>
          <w:p>
            <w:pPr>
              <w:pStyle w:val="TableParagraph"/>
              <w:spacing w:before="73"/>
              <w:rPr>
                <w:sz w:val="20"/>
              </w:rPr>
            </w:pPr>
            <w:r>
              <w:rPr>
                <w:sz w:val="20"/>
              </w:rPr>
              <w:t>0,006</w:t>
            </w:r>
          </w:p>
        </w:tc>
        <w:tc>
          <w:tcPr>
            <w:tcW w:w="900" w:type="dxa"/>
          </w:tcPr>
          <w:p>
            <w:pPr>
              <w:pStyle w:val="TableParagraph"/>
              <w:spacing w:before="73"/>
              <w:rPr>
                <w:sz w:val="20"/>
              </w:rPr>
            </w:pPr>
            <w:r>
              <w:rPr>
                <w:sz w:val="20"/>
              </w:rPr>
              <w:t>11</w:t>
            </w:r>
          </w:p>
        </w:tc>
        <w:tc>
          <w:tcPr>
            <w:tcW w:w="900" w:type="dxa"/>
          </w:tcPr>
          <w:p>
            <w:pPr>
              <w:pStyle w:val="TableParagraph"/>
              <w:spacing w:before="73"/>
              <w:rPr>
                <w:sz w:val="20"/>
              </w:rPr>
            </w:pPr>
            <w:r>
              <w:rPr>
                <w:sz w:val="20"/>
              </w:rPr>
              <w:t>0,004</w:t>
            </w:r>
          </w:p>
        </w:tc>
        <w:tc>
          <w:tcPr>
            <w:tcW w:w="720" w:type="dxa"/>
          </w:tcPr>
          <w:p>
            <w:pPr>
              <w:pStyle w:val="TableParagraph"/>
              <w:spacing w:before="73"/>
              <w:ind w:left="5"/>
              <w:rPr>
                <w:sz w:val="20"/>
              </w:rPr>
            </w:pPr>
            <w:r>
              <w:rPr>
                <w:sz w:val="20"/>
              </w:rPr>
              <w:t>29</w:t>
            </w:r>
          </w:p>
        </w:tc>
        <w:tc>
          <w:tcPr>
            <w:tcW w:w="900" w:type="dxa"/>
          </w:tcPr>
          <w:p>
            <w:pPr>
              <w:pStyle w:val="TableParagraph"/>
              <w:spacing w:before="73"/>
              <w:rPr>
                <w:sz w:val="20"/>
              </w:rPr>
            </w:pPr>
            <w:r>
              <w:rPr>
                <w:sz w:val="20"/>
              </w:rPr>
              <w:t>0,223</w:t>
            </w:r>
          </w:p>
        </w:tc>
      </w:tr>
      <w:tr>
        <w:trPr>
          <w:trHeight w:val="313" w:hRule="atLeast"/>
        </w:trPr>
        <w:tc>
          <w:tcPr>
            <w:tcW w:w="919" w:type="dxa"/>
          </w:tcPr>
          <w:p>
            <w:pPr>
              <w:pStyle w:val="TableParagraph"/>
              <w:spacing w:before="71"/>
              <w:ind w:left="14"/>
              <w:rPr>
                <w:sz w:val="20"/>
              </w:rPr>
            </w:pPr>
            <w:r>
              <w:rPr>
                <w:sz w:val="20"/>
              </w:rPr>
              <w:t>15</w:t>
            </w:r>
          </w:p>
        </w:tc>
        <w:tc>
          <w:tcPr>
            <w:tcW w:w="900" w:type="dxa"/>
          </w:tcPr>
          <w:p>
            <w:pPr>
              <w:pStyle w:val="TableParagraph"/>
              <w:spacing w:before="71"/>
              <w:ind w:left="14"/>
              <w:rPr>
                <w:sz w:val="20"/>
              </w:rPr>
            </w:pPr>
            <w:r>
              <w:rPr>
                <w:sz w:val="20"/>
              </w:rPr>
              <w:t>0,076</w:t>
            </w:r>
          </w:p>
        </w:tc>
        <w:tc>
          <w:tcPr>
            <w:tcW w:w="900" w:type="dxa"/>
          </w:tcPr>
          <w:p>
            <w:pPr>
              <w:pStyle w:val="TableParagraph"/>
              <w:spacing w:before="71"/>
              <w:ind w:left="13"/>
              <w:rPr>
                <w:sz w:val="20"/>
              </w:rPr>
            </w:pPr>
            <w:r>
              <w:rPr>
                <w:sz w:val="20"/>
              </w:rPr>
              <w:t>11</w:t>
            </w:r>
          </w:p>
        </w:tc>
        <w:tc>
          <w:tcPr>
            <w:tcW w:w="900" w:type="dxa"/>
          </w:tcPr>
          <w:p>
            <w:pPr>
              <w:pStyle w:val="TableParagraph"/>
              <w:spacing w:before="71"/>
              <w:ind w:left="15"/>
              <w:rPr>
                <w:sz w:val="20"/>
              </w:rPr>
            </w:pPr>
            <w:r>
              <w:rPr>
                <w:sz w:val="20"/>
              </w:rPr>
              <w:t>0,340</w:t>
            </w:r>
          </w:p>
        </w:tc>
        <w:tc>
          <w:tcPr>
            <w:tcW w:w="720" w:type="dxa"/>
          </w:tcPr>
          <w:p>
            <w:pPr>
              <w:pStyle w:val="TableParagraph"/>
              <w:spacing w:before="71"/>
              <w:rPr>
                <w:sz w:val="20"/>
              </w:rPr>
            </w:pPr>
            <w:r>
              <w:rPr>
                <w:sz w:val="20"/>
              </w:rPr>
              <w:t>12</w:t>
            </w:r>
          </w:p>
        </w:tc>
        <w:tc>
          <w:tcPr>
            <w:tcW w:w="1080" w:type="dxa"/>
          </w:tcPr>
          <w:p>
            <w:pPr>
              <w:pStyle w:val="TableParagraph"/>
              <w:spacing w:before="71"/>
              <w:rPr>
                <w:sz w:val="20"/>
              </w:rPr>
            </w:pPr>
            <w:r>
              <w:rPr>
                <w:sz w:val="20"/>
              </w:rPr>
              <w:t>0,134</w:t>
            </w:r>
          </w:p>
        </w:tc>
        <w:tc>
          <w:tcPr>
            <w:tcW w:w="900" w:type="dxa"/>
          </w:tcPr>
          <w:p>
            <w:pPr>
              <w:pStyle w:val="TableParagraph"/>
              <w:spacing w:before="71"/>
              <w:rPr>
                <w:sz w:val="20"/>
              </w:rPr>
            </w:pPr>
            <w:r>
              <w:rPr>
                <w:sz w:val="20"/>
              </w:rPr>
              <w:t>12</w:t>
            </w:r>
          </w:p>
        </w:tc>
        <w:tc>
          <w:tcPr>
            <w:tcW w:w="900" w:type="dxa"/>
          </w:tcPr>
          <w:p>
            <w:pPr>
              <w:pStyle w:val="TableParagraph"/>
              <w:spacing w:before="71"/>
              <w:rPr>
                <w:sz w:val="20"/>
              </w:rPr>
            </w:pPr>
            <w:r>
              <w:rPr>
                <w:sz w:val="20"/>
              </w:rPr>
              <w:t>0,061</w:t>
            </w:r>
          </w:p>
        </w:tc>
        <w:tc>
          <w:tcPr>
            <w:tcW w:w="720" w:type="dxa"/>
          </w:tcPr>
          <w:p>
            <w:pPr>
              <w:pStyle w:val="TableParagraph"/>
              <w:spacing w:before="71"/>
              <w:ind w:left="5"/>
              <w:rPr>
                <w:sz w:val="20"/>
              </w:rPr>
            </w:pPr>
            <w:r>
              <w:rPr>
                <w:sz w:val="20"/>
              </w:rPr>
              <w:t>29.2</w:t>
            </w:r>
          </w:p>
        </w:tc>
        <w:tc>
          <w:tcPr>
            <w:tcW w:w="900" w:type="dxa"/>
          </w:tcPr>
          <w:p>
            <w:pPr>
              <w:pStyle w:val="TableParagraph"/>
              <w:spacing w:before="71"/>
              <w:rPr>
                <w:sz w:val="20"/>
              </w:rPr>
            </w:pPr>
            <w:r>
              <w:rPr>
                <w:sz w:val="20"/>
              </w:rPr>
              <w:t>0,000</w:t>
            </w:r>
          </w:p>
        </w:tc>
      </w:tr>
      <w:tr>
        <w:trPr>
          <w:trHeight w:val="316" w:hRule="atLeast"/>
        </w:trPr>
        <w:tc>
          <w:tcPr>
            <w:tcW w:w="919" w:type="dxa"/>
          </w:tcPr>
          <w:p>
            <w:pPr>
              <w:pStyle w:val="TableParagraph"/>
              <w:spacing w:before="73"/>
              <w:ind w:left="14"/>
              <w:rPr>
                <w:sz w:val="20"/>
              </w:rPr>
            </w:pPr>
            <w:r>
              <w:rPr>
                <w:sz w:val="20"/>
              </w:rPr>
              <w:t>16</w:t>
            </w:r>
          </w:p>
        </w:tc>
        <w:tc>
          <w:tcPr>
            <w:tcW w:w="900" w:type="dxa"/>
          </w:tcPr>
          <w:p>
            <w:pPr>
              <w:pStyle w:val="TableParagraph"/>
              <w:spacing w:before="73"/>
              <w:ind w:left="14"/>
              <w:rPr>
                <w:sz w:val="20"/>
              </w:rPr>
            </w:pPr>
            <w:r>
              <w:rPr>
                <w:sz w:val="20"/>
              </w:rPr>
              <w:t>0,203</w:t>
            </w:r>
          </w:p>
        </w:tc>
        <w:tc>
          <w:tcPr>
            <w:tcW w:w="900" w:type="dxa"/>
          </w:tcPr>
          <w:p>
            <w:pPr>
              <w:pStyle w:val="TableParagraph"/>
              <w:spacing w:before="73"/>
              <w:ind w:left="13"/>
              <w:rPr>
                <w:sz w:val="20"/>
              </w:rPr>
            </w:pPr>
            <w:r>
              <w:rPr>
                <w:sz w:val="20"/>
              </w:rPr>
              <w:t>12</w:t>
            </w:r>
          </w:p>
        </w:tc>
        <w:tc>
          <w:tcPr>
            <w:tcW w:w="900" w:type="dxa"/>
          </w:tcPr>
          <w:p>
            <w:pPr>
              <w:pStyle w:val="TableParagraph"/>
              <w:spacing w:before="73"/>
              <w:ind w:left="15"/>
              <w:rPr>
                <w:sz w:val="20"/>
              </w:rPr>
            </w:pPr>
            <w:r>
              <w:rPr>
                <w:sz w:val="20"/>
              </w:rPr>
              <w:t>0,279</w:t>
            </w:r>
          </w:p>
        </w:tc>
        <w:tc>
          <w:tcPr>
            <w:tcW w:w="720" w:type="dxa"/>
          </w:tcPr>
          <w:p>
            <w:pPr>
              <w:pStyle w:val="TableParagraph"/>
              <w:spacing w:before="73"/>
              <w:rPr>
                <w:sz w:val="20"/>
              </w:rPr>
            </w:pPr>
            <w:r>
              <w:rPr>
                <w:sz w:val="20"/>
              </w:rPr>
              <w:t>13</w:t>
            </w:r>
          </w:p>
        </w:tc>
        <w:tc>
          <w:tcPr>
            <w:tcW w:w="1080" w:type="dxa"/>
          </w:tcPr>
          <w:p>
            <w:pPr>
              <w:pStyle w:val="TableParagraph"/>
              <w:spacing w:before="73"/>
              <w:rPr>
                <w:sz w:val="20"/>
              </w:rPr>
            </w:pPr>
            <w:r>
              <w:rPr>
                <w:sz w:val="20"/>
              </w:rPr>
              <w:t>0,108</w:t>
            </w:r>
          </w:p>
        </w:tc>
        <w:tc>
          <w:tcPr>
            <w:tcW w:w="900" w:type="dxa"/>
          </w:tcPr>
          <w:p>
            <w:pPr>
              <w:pStyle w:val="TableParagraph"/>
              <w:spacing w:before="73"/>
              <w:rPr>
                <w:sz w:val="20"/>
              </w:rPr>
            </w:pPr>
            <w:r>
              <w:rPr>
                <w:sz w:val="20"/>
              </w:rPr>
              <w:t>12.2</w:t>
            </w:r>
          </w:p>
        </w:tc>
        <w:tc>
          <w:tcPr>
            <w:tcW w:w="900" w:type="dxa"/>
          </w:tcPr>
          <w:p>
            <w:pPr>
              <w:pStyle w:val="TableParagraph"/>
              <w:spacing w:before="73"/>
              <w:ind w:left="5"/>
              <w:rPr>
                <w:sz w:val="20"/>
              </w:rPr>
            </w:pPr>
            <w:r>
              <w:rPr>
                <w:sz w:val="20"/>
              </w:rPr>
              <w:t>0,000</w:t>
            </w:r>
          </w:p>
        </w:tc>
        <w:tc>
          <w:tcPr>
            <w:tcW w:w="720" w:type="dxa"/>
          </w:tcPr>
          <w:p>
            <w:pPr>
              <w:pStyle w:val="TableParagraph"/>
              <w:spacing w:before="73"/>
              <w:rPr>
                <w:sz w:val="20"/>
              </w:rPr>
            </w:pPr>
            <w:r>
              <w:rPr>
                <w:sz w:val="20"/>
              </w:rPr>
              <w:t>30</w:t>
            </w:r>
          </w:p>
        </w:tc>
        <w:tc>
          <w:tcPr>
            <w:tcW w:w="900" w:type="dxa"/>
          </w:tcPr>
          <w:p>
            <w:pPr>
              <w:pStyle w:val="TableParagraph"/>
              <w:spacing w:before="73"/>
              <w:rPr>
                <w:sz w:val="20"/>
              </w:rPr>
            </w:pPr>
            <w:r>
              <w:rPr>
                <w:sz w:val="20"/>
              </w:rPr>
              <w:t>0,271</w:t>
            </w:r>
          </w:p>
        </w:tc>
      </w:tr>
      <w:tr>
        <w:trPr>
          <w:trHeight w:val="313" w:hRule="atLeast"/>
        </w:trPr>
        <w:tc>
          <w:tcPr>
            <w:tcW w:w="919" w:type="dxa"/>
          </w:tcPr>
          <w:p>
            <w:pPr>
              <w:pStyle w:val="TableParagraph"/>
              <w:spacing w:before="71"/>
              <w:ind w:left="14"/>
              <w:rPr>
                <w:sz w:val="20"/>
              </w:rPr>
            </w:pPr>
            <w:r>
              <w:rPr>
                <w:sz w:val="20"/>
              </w:rPr>
              <w:t>17</w:t>
            </w:r>
          </w:p>
        </w:tc>
        <w:tc>
          <w:tcPr>
            <w:tcW w:w="900" w:type="dxa"/>
          </w:tcPr>
          <w:p>
            <w:pPr>
              <w:pStyle w:val="TableParagraph"/>
              <w:spacing w:before="71"/>
              <w:ind w:left="14"/>
              <w:rPr>
                <w:sz w:val="20"/>
              </w:rPr>
            </w:pPr>
            <w:r>
              <w:rPr>
                <w:sz w:val="20"/>
              </w:rPr>
              <w:t>0,303</w:t>
            </w:r>
          </w:p>
        </w:tc>
        <w:tc>
          <w:tcPr>
            <w:tcW w:w="900" w:type="dxa"/>
          </w:tcPr>
          <w:p>
            <w:pPr>
              <w:pStyle w:val="TableParagraph"/>
              <w:spacing w:before="71"/>
              <w:ind w:left="13"/>
              <w:rPr>
                <w:sz w:val="20"/>
              </w:rPr>
            </w:pPr>
            <w:r>
              <w:rPr>
                <w:sz w:val="20"/>
              </w:rPr>
              <w:t>13</w:t>
            </w:r>
          </w:p>
        </w:tc>
        <w:tc>
          <w:tcPr>
            <w:tcW w:w="900" w:type="dxa"/>
          </w:tcPr>
          <w:p>
            <w:pPr>
              <w:pStyle w:val="TableParagraph"/>
              <w:spacing w:before="71"/>
              <w:ind w:left="15"/>
              <w:rPr>
                <w:sz w:val="20"/>
              </w:rPr>
            </w:pPr>
            <w:r>
              <w:rPr>
                <w:sz w:val="20"/>
              </w:rPr>
              <w:t>0,162</w:t>
            </w:r>
          </w:p>
        </w:tc>
        <w:tc>
          <w:tcPr>
            <w:tcW w:w="720" w:type="dxa"/>
          </w:tcPr>
          <w:p>
            <w:pPr>
              <w:pStyle w:val="TableParagraph"/>
              <w:spacing w:before="71"/>
              <w:rPr>
                <w:sz w:val="20"/>
              </w:rPr>
            </w:pPr>
            <w:r>
              <w:rPr>
                <w:sz w:val="20"/>
              </w:rPr>
              <w:t>14</w:t>
            </w:r>
          </w:p>
        </w:tc>
        <w:tc>
          <w:tcPr>
            <w:tcW w:w="1080" w:type="dxa"/>
          </w:tcPr>
          <w:p>
            <w:pPr>
              <w:pStyle w:val="TableParagraph"/>
              <w:spacing w:before="71"/>
              <w:rPr>
                <w:sz w:val="20"/>
              </w:rPr>
            </w:pPr>
            <w:r>
              <w:rPr>
                <w:sz w:val="20"/>
              </w:rPr>
              <w:t>0,182</w:t>
            </w:r>
          </w:p>
        </w:tc>
        <w:tc>
          <w:tcPr>
            <w:tcW w:w="900" w:type="dxa"/>
          </w:tcPr>
          <w:p>
            <w:pPr>
              <w:pStyle w:val="TableParagraph"/>
              <w:spacing w:before="71"/>
              <w:rPr>
                <w:sz w:val="20"/>
              </w:rPr>
            </w:pPr>
            <w:r>
              <w:rPr>
                <w:sz w:val="20"/>
              </w:rPr>
              <w:t>13</w:t>
            </w:r>
          </w:p>
        </w:tc>
        <w:tc>
          <w:tcPr>
            <w:tcW w:w="900" w:type="dxa"/>
          </w:tcPr>
          <w:p>
            <w:pPr>
              <w:pStyle w:val="TableParagraph"/>
              <w:spacing w:before="71"/>
              <w:rPr>
                <w:sz w:val="20"/>
              </w:rPr>
            </w:pPr>
            <w:r>
              <w:rPr>
                <w:sz w:val="20"/>
              </w:rPr>
              <w:t>0,255</w:t>
            </w:r>
          </w:p>
        </w:tc>
        <w:tc>
          <w:tcPr>
            <w:tcW w:w="720" w:type="dxa"/>
          </w:tcPr>
          <w:p>
            <w:pPr>
              <w:pStyle w:val="TableParagraph"/>
              <w:spacing w:before="71"/>
              <w:ind w:left="5"/>
              <w:rPr>
                <w:sz w:val="20"/>
              </w:rPr>
            </w:pPr>
            <w:r>
              <w:rPr>
                <w:sz w:val="20"/>
              </w:rPr>
              <w:t>30.2</w:t>
            </w:r>
          </w:p>
        </w:tc>
        <w:tc>
          <w:tcPr>
            <w:tcW w:w="900" w:type="dxa"/>
          </w:tcPr>
          <w:p>
            <w:pPr>
              <w:pStyle w:val="TableParagraph"/>
              <w:spacing w:before="71"/>
              <w:rPr>
                <w:sz w:val="20"/>
              </w:rPr>
            </w:pPr>
            <w:r>
              <w:rPr>
                <w:sz w:val="20"/>
              </w:rPr>
              <w:t>0,030</w:t>
            </w:r>
          </w:p>
        </w:tc>
      </w:tr>
      <w:tr>
        <w:trPr>
          <w:trHeight w:val="314" w:hRule="atLeast"/>
        </w:trPr>
        <w:tc>
          <w:tcPr>
            <w:tcW w:w="919" w:type="dxa"/>
          </w:tcPr>
          <w:p>
            <w:pPr>
              <w:pStyle w:val="TableParagraph"/>
              <w:spacing w:before="71"/>
              <w:ind w:left="14"/>
              <w:rPr>
                <w:sz w:val="20"/>
              </w:rPr>
            </w:pPr>
            <w:r>
              <w:rPr>
                <w:sz w:val="20"/>
              </w:rPr>
              <w:t>18</w:t>
            </w:r>
          </w:p>
        </w:tc>
        <w:tc>
          <w:tcPr>
            <w:tcW w:w="900" w:type="dxa"/>
          </w:tcPr>
          <w:p>
            <w:pPr>
              <w:pStyle w:val="TableParagraph"/>
              <w:spacing w:before="71"/>
              <w:ind w:left="14"/>
              <w:rPr>
                <w:sz w:val="20"/>
              </w:rPr>
            </w:pPr>
            <w:r>
              <w:rPr>
                <w:sz w:val="20"/>
              </w:rPr>
              <w:t>0,223</w:t>
            </w:r>
          </w:p>
        </w:tc>
        <w:tc>
          <w:tcPr>
            <w:tcW w:w="900" w:type="dxa"/>
          </w:tcPr>
          <w:p>
            <w:pPr>
              <w:pStyle w:val="TableParagraph"/>
              <w:spacing w:before="71"/>
              <w:ind w:left="13"/>
              <w:rPr>
                <w:sz w:val="20"/>
              </w:rPr>
            </w:pPr>
            <w:r>
              <w:rPr>
                <w:sz w:val="20"/>
              </w:rPr>
              <w:t>13.3</w:t>
            </w:r>
          </w:p>
        </w:tc>
        <w:tc>
          <w:tcPr>
            <w:tcW w:w="900" w:type="dxa"/>
          </w:tcPr>
          <w:p>
            <w:pPr>
              <w:pStyle w:val="TableParagraph"/>
              <w:spacing w:before="71"/>
              <w:ind w:left="13"/>
              <w:rPr>
                <w:sz w:val="20"/>
              </w:rPr>
            </w:pPr>
            <w:r>
              <w:rPr>
                <w:sz w:val="20"/>
              </w:rPr>
              <w:t>0,000</w:t>
            </w:r>
          </w:p>
        </w:tc>
        <w:tc>
          <w:tcPr>
            <w:tcW w:w="720" w:type="dxa"/>
          </w:tcPr>
          <w:p>
            <w:pPr>
              <w:pStyle w:val="TableParagraph"/>
              <w:spacing w:before="71"/>
              <w:rPr>
                <w:sz w:val="20"/>
              </w:rPr>
            </w:pPr>
            <w:r>
              <w:rPr>
                <w:sz w:val="20"/>
              </w:rPr>
              <w:t>15</w:t>
            </w:r>
          </w:p>
        </w:tc>
        <w:tc>
          <w:tcPr>
            <w:tcW w:w="1080" w:type="dxa"/>
          </w:tcPr>
          <w:p>
            <w:pPr>
              <w:pStyle w:val="TableParagraph"/>
              <w:spacing w:before="71"/>
              <w:rPr>
                <w:sz w:val="20"/>
              </w:rPr>
            </w:pPr>
            <w:r>
              <w:rPr>
                <w:sz w:val="20"/>
              </w:rPr>
              <w:t>0,117</w:t>
            </w:r>
          </w:p>
        </w:tc>
        <w:tc>
          <w:tcPr>
            <w:tcW w:w="900" w:type="dxa"/>
          </w:tcPr>
          <w:p>
            <w:pPr>
              <w:pStyle w:val="TableParagraph"/>
              <w:spacing w:before="71"/>
              <w:rPr>
                <w:sz w:val="20"/>
              </w:rPr>
            </w:pPr>
            <w:r>
              <w:rPr>
                <w:sz w:val="20"/>
              </w:rPr>
              <w:t>13.2</w:t>
            </w:r>
          </w:p>
        </w:tc>
        <w:tc>
          <w:tcPr>
            <w:tcW w:w="900" w:type="dxa"/>
          </w:tcPr>
          <w:p>
            <w:pPr>
              <w:pStyle w:val="TableParagraph"/>
              <w:spacing w:before="71"/>
              <w:ind w:left="5"/>
              <w:rPr>
                <w:sz w:val="20"/>
              </w:rPr>
            </w:pPr>
            <w:r>
              <w:rPr>
                <w:sz w:val="20"/>
              </w:rPr>
              <w:t>0,011</w:t>
            </w:r>
          </w:p>
        </w:tc>
        <w:tc>
          <w:tcPr>
            <w:tcW w:w="720" w:type="dxa"/>
          </w:tcPr>
          <w:p>
            <w:pPr>
              <w:pStyle w:val="TableParagraph"/>
              <w:spacing w:before="71"/>
              <w:rPr>
                <w:sz w:val="20"/>
              </w:rPr>
            </w:pPr>
            <w:r>
              <w:rPr>
                <w:sz w:val="20"/>
              </w:rPr>
              <w:t>31</w:t>
            </w:r>
          </w:p>
        </w:tc>
        <w:tc>
          <w:tcPr>
            <w:tcW w:w="900" w:type="dxa"/>
          </w:tcPr>
          <w:p>
            <w:pPr>
              <w:pStyle w:val="TableParagraph"/>
              <w:spacing w:before="71"/>
              <w:rPr>
                <w:sz w:val="20"/>
              </w:rPr>
            </w:pPr>
            <w:r>
              <w:rPr>
                <w:sz w:val="20"/>
              </w:rPr>
              <w:t>0,078</w:t>
            </w:r>
          </w:p>
        </w:tc>
      </w:tr>
      <w:tr>
        <w:trPr>
          <w:trHeight w:val="316" w:hRule="atLeast"/>
        </w:trPr>
        <w:tc>
          <w:tcPr>
            <w:tcW w:w="919" w:type="dxa"/>
          </w:tcPr>
          <w:p>
            <w:pPr>
              <w:pStyle w:val="TableParagraph"/>
              <w:spacing w:before="73"/>
              <w:ind w:left="14"/>
              <w:rPr>
                <w:sz w:val="20"/>
              </w:rPr>
            </w:pPr>
            <w:r>
              <w:rPr>
                <w:sz w:val="20"/>
              </w:rPr>
              <w:t>19</w:t>
            </w:r>
          </w:p>
        </w:tc>
        <w:tc>
          <w:tcPr>
            <w:tcW w:w="900" w:type="dxa"/>
          </w:tcPr>
          <w:p>
            <w:pPr>
              <w:pStyle w:val="TableParagraph"/>
              <w:spacing w:before="73"/>
              <w:ind w:left="14"/>
              <w:rPr>
                <w:sz w:val="20"/>
              </w:rPr>
            </w:pPr>
            <w:r>
              <w:rPr>
                <w:sz w:val="20"/>
              </w:rPr>
              <w:t>0,110</w:t>
            </w:r>
          </w:p>
        </w:tc>
        <w:tc>
          <w:tcPr>
            <w:tcW w:w="900" w:type="dxa"/>
          </w:tcPr>
          <w:p>
            <w:pPr>
              <w:pStyle w:val="TableParagraph"/>
              <w:spacing w:before="73"/>
              <w:ind w:left="13"/>
              <w:rPr>
                <w:sz w:val="20"/>
              </w:rPr>
            </w:pPr>
            <w:r>
              <w:rPr>
                <w:sz w:val="20"/>
              </w:rPr>
              <w:t>14</w:t>
            </w:r>
          </w:p>
        </w:tc>
        <w:tc>
          <w:tcPr>
            <w:tcW w:w="900" w:type="dxa"/>
          </w:tcPr>
          <w:p>
            <w:pPr>
              <w:pStyle w:val="TableParagraph"/>
              <w:spacing w:before="73"/>
              <w:ind w:left="15"/>
              <w:rPr>
                <w:sz w:val="20"/>
              </w:rPr>
            </w:pPr>
            <w:r>
              <w:rPr>
                <w:sz w:val="20"/>
              </w:rPr>
              <w:t>0,013</w:t>
            </w:r>
          </w:p>
        </w:tc>
        <w:tc>
          <w:tcPr>
            <w:tcW w:w="720" w:type="dxa"/>
          </w:tcPr>
          <w:p>
            <w:pPr>
              <w:pStyle w:val="TableParagraph"/>
              <w:spacing w:before="73"/>
              <w:rPr>
                <w:sz w:val="20"/>
              </w:rPr>
            </w:pPr>
            <w:r>
              <w:rPr>
                <w:sz w:val="20"/>
              </w:rPr>
              <w:t>16</w:t>
            </w:r>
          </w:p>
        </w:tc>
        <w:tc>
          <w:tcPr>
            <w:tcW w:w="1080" w:type="dxa"/>
          </w:tcPr>
          <w:p>
            <w:pPr>
              <w:pStyle w:val="TableParagraph"/>
              <w:spacing w:before="73"/>
              <w:rPr>
                <w:sz w:val="20"/>
              </w:rPr>
            </w:pPr>
            <w:r>
              <w:rPr>
                <w:sz w:val="20"/>
              </w:rPr>
              <w:t>0,152</w:t>
            </w:r>
          </w:p>
        </w:tc>
        <w:tc>
          <w:tcPr>
            <w:tcW w:w="900" w:type="dxa"/>
          </w:tcPr>
          <w:p>
            <w:pPr>
              <w:pStyle w:val="TableParagraph"/>
              <w:spacing w:before="73"/>
              <w:rPr>
                <w:sz w:val="20"/>
              </w:rPr>
            </w:pPr>
            <w:r>
              <w:rPr>
                <w:sz w:val="20"/>
              </w:rPr>
              <w:t>14</w:t>
            </w:r>
          </w:p>
        </w:tc>
        <w:tc>
          <w:tcPr>
            <w:tcW w:w="900" w:type="dxa"/>
          </w:tcPr>
          <w:p>
            <w:pPr>
              <w:pStyle w:val="TableParagraph"/>
              <w:spacing w:before="73"/>
              <w:rPr>
                <w:sz w:val="20"/>
              </w:rPr>
            </w:pPr>
            <w:r>
              <w:rPr>
                <w:sz w:val="20"/>
              </w:rPr>
              <w:t>0,359</w:t>
            </w:r>
          </w:p>
        </w:tc>
        <w:tc>
          <w:tcPr>
            <w:tcW w:w="720" w:type="dxa"/>
          </w:tcPr>
          <w:p>
            <w:pPr>
              <w:pStyle w:val="TableParagraph"/>
              <w:spacing w:before="73"/>
              <w:ind w:left="5"/>
              <w:rPr>
                <w:sz w:val="20"/>
              </w:rPr>
            </w:pPr>
            <w:r>
              <w:rPr>
                <w:sz w:val="20"/>
              </w:rPr>
              <w:t>31.2</w:t>
            </w:r>
          </w:p>
        </w:tc>
        <w:tc>
          <w:tcPr>
            <w:tcW w:w="900" w:type="dxa"/>
          </w:tcPr>
          <w:p>
            <w:pPr>
              <w:pStyle w:val="TableParagraph"/>
              <w:spacing w:before="73"/>
              <w:rPr>
                <w:sz w:val="20"/>
              </w:rPr>
            </w:pPr>
            <w:r>
              <w:rPr>
                <w:sz w:val="20"/>
              </w:rPr>
              <w:t>0,074</w:t>
            </w:r>
          </w:p>
        </w:tc>
      </w:tr>
      <w:tr>
        <w:trPr>
          <w:trHeight w:val="314" w:hRule="atLeast"/>
        </w:trPr>
        <w:tc>
          <w:tcPr>
            <w:tcW w:w="919" w:type="dxa"/>
          </w:tcPr>
          <w:p>
            <w:pPr>
              <w:pStyle w:val="TableParagraph"/>
              <w:spacing w:before="71"/>
              <w:ind w:left="14"/>
              <w:rPr>
                <w:sz w:val="20"/>
              </w:rPr>
            </w:pPr>
            <w:r>
              <w:rPr>
                <w:sz w:val="20"/>
              </w:rPr>
              <w:t>20</w:t>
            </w:r>
          </w:p>
        </w:tc>
        <w:tc>
          <w:tcPr>
            <w:tcW w:w="900" w:type="dxa"/>
          </w:tcPr>
          <w:p>
            <w:pPr>
              <w:pStyle w:val="TableParagraph"/>
              <w:spacing w:before="71"/>
              <w:ind w:left="14"/>
              <w:rPr>
                <w:sz w:val="20"/>
              </w:rPr>
            </w:pPr>
            <w:r>
              <w:rPr>
                <w:sz w:val="20"/>
              </w:rPr>
              <w:t>0,013</w:t>
            </w:r>
          </w:p>
        </w:tc>
        <w:tc>
          <w:tcPr>
            <w:tcW w:w="900" w:type="dxa"/>
          </w:tcPr>
          <w:p>
            <w:pPr>
              <w:pStyle w:val="TableParagraph"/>
              <w:spacing w:before="71"/>
              <w:ind w:left="13"/>
              <w:rPr>
                <w:sz w:val="20"/>
              </w:rPr>
            </w:pPr>
            <w:r>
              <w:rPr>
                <w:sz w:val="20"/>
              </w:rPr>
              <w:t>15</w:t>
            </w:r>
          </w:p>
        </w:tc>
        <w:tc>
          <w:tcPr>
            <w:tcW w:w="900" w:type="dxa"/>
          </w:tcPr>
          <w:p>
            <w:pPr>
              <w:pStyle w:val="TableParagraph"/>
              <w:spacing w:before="71"/>
              <w:ind w:left="15"/>
              <w:rPr>
                <w:sz w:val="20"/>
              </w:rPr>
            </w:pPr>
            <w:r>
              <w:rPr>
                <w:sz w:val="20"/>
              </w:rPr>
              <w:t>0,000</w:t>
            </w:r>
          </w:p>
        </w:tc>
        <w:tc>
          <w:tcPr>
            <w:tcW w:w="720" w:type="dxa"/>
          </w:tcPr>
          <w:p>
            <w:pPr>
              <w:pStyle w:val="TableParagraph"/>
              <w:spacing w:before="71"/>
              <w:rPr>
                <w:sz w:val="20"/>
              </w:rPr>
            </w:pPr>
            <w:r>
              <w:rPr>
                <w:sz w:val="20"/>
              </w:rPr>
              <w:t>17</w:t>
            </w:r>
          </w:p>
        </w:tc>
        <w:tc>
          <w:tcPr>
            <w:tcW w:w="1080" w:type="dxa"/>
          </w:tcPr>
          <w:p>
            <w:pPr>
              <w:pStyle w:val="TableParagraph"/>
              <w:spacing w:before="71"/>
              <w:rPr>
                <w:sz w:val="20"/>
              </w:rPr>
            </w:pPr>
            <w:r>
              <w:rPr>
                <w:sz w:val="20"/>
              </w:rPr>
              <w:t>0,141</w:t>
            </w:r>
          </w:p>
        </w:tc>
        <w:tc>
          <w:tcPr>
            <w:tcW w:w="900" w:type="dxa"/>
          </w:tcPr>
          <w:p>
            <w:pPr>
              <w:pStyle w:val="TableParagraph"/>
              <w:spacing w:before="71"/>
              <w:rPr>
                <w:sz w:val="20"/>
              </w:rPr>
            </w:pPr>
            <w:r>
              <w:rPr>
                <w:sz w:val="20"/>
              </w:rPr>
              <w:t>14.2</w:t>
            </w:r>
          </w:p>
        </w:tc>
        <w:tc>
          <w:tcPr>
            <w:tcW w:w="900" w:type="dxa"/>
          </w:tcPr>
          <w:p>
            <w:pPr>
              <w:pStyle w:val="TableParagraph"/>
              <w:spacing w:before="71"/>
              <w:ind w:left="5"/>
              <w:rPr>
                <w:sz w:val="20"/>
              </w:rPr>
            </w:pPr>
            <w:r>
              <w:rPr>
                <w:sz w:val="20"/>
              </w:rPr>
              <w:t>0,032</w:t>
            </w:r>
          </w:p>
        </w:tc>
        <w:tc>
          <w:tcPr>
            <w:tcW w:w="720" w:type="dxa"/>
          </w:tcPr>
          <w:p>
            <w:pPr>
              <w:pStyle w:val="TableParagraph"/>
              <w:spacing w:before="71"/>
              <w:rPr>
                <w:sz w:val="20"/>
              </w:rPr>
            </w:pPr>
            <w:r>
              <w:rPr>
                <w:sz w:val="20"/>
              </w:rPr>
              <w:t>32</w:t>
            </w:r>
          </w:p>
        </w:tc>
        <w:tc>
          <w:tcPr>
            <w:tcW w:w="900" w:type="dxa"/>
          </w:tcPr>
          <w:p>
            <w:pPr>
              <w:pStyle w:val="TableParagraph"/>
              <w:spacing w:before="71"/>
              <w:rPr>
                <w:sz w:val="20"/>
              </w:rPr>
            </w:pPr>
            <w:r>
              <w:rPr>
                <w:sz w:val="20"/>
              </w:rPr>
              <w:t>0,011</w:t>
            </w:r>
          </w:p>
        </w:tc>
      </w:tr>
      <w:tr>
        <w:trPr>
          <w:trHeight w:val="316" w:hRule="atLeast"/>
        </w:trPr>
        <w:tc>
          <w:tcPr>
            <w:tcW w:w="919" w:type="dxa"/>
          </w:tcPr>
          <w:p>
            <w:pPr>
              <w:pStyle w:val="TableParagraph"/>
              <w:spacing w:before="73"/>
              <w:ind w:left="14"/>
              <w:rPr>
                <w:sz w:val="20"/>
              </w:rPr>
            </w:pPr>
            <w:r>
              <w:rPr>
                <w:sz w:val="20"/>
              </w:rPr>
              <w:t>21</w:t>
            </w:r>
          </w:p>
        </w:tc>
        <w:tc>
          <w:tcPr>
            <w:tcW w:w="900" w:type="dxa"/>
          </w:tcPr>
          <w:p>
            <w:pPr>
              <w:pStyle w:val="TableParagraph"/>
              <w:spacing w:before="73"/>
              <w:ind w:left="14"/>
              <w:rPr>
                <w:sz w:val="20"/>
              </w:rPr>
            </w:pPr>
            <w:r>
              <w:rPr>
                <w:sz w:val="20"/>
              </w:rPr>
              <w:t>0,004</w:t>
            </w: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before="73"/>
              <w:rPr>
                <w:sz w:val="20"/>
              </w:rPr>
            </w:pPr>
            <w:r>
              <w:rPr>
                <w:sz w:val="20"/>
              </w:rPr>
              <w:t>18</w:t>
            </w:r>
          </w:p>
        </w:tc>
        <w:tc>
          <w:tcPr>
            <w:tcW w:w="1080" w:type="dxa"/>
          </w:tcPr>
          <w:p>
            <w:pPr>
              <w:pStyle w:val="TableParagraph"/>
              <w:spacing w:before="73"/>
              <w:rPr>
                <w:sz w:val="20"/>
              </w:rPr>
            </w:pPr>
            <w:r>
              <w:rPr>
                <w:sz w:val="20"/>
              </w:rPr>
              <w:t>0,071</w:t>
            </w:r>
          </w:p>
        </w:tc>
        <w:tc>
          <w:tcPr>
            <w:tcW w:w="900" w:type="dxa"/>
          </w:tcPr>
          <w:p>
            <w:pPr>
              <w:pStyle w:val="TableParagraph"/>
              <w:spacing w:before="73"/>
              <w:ind w:left="5"/>
              <w:rPr>
                <w:sz w:val="20"/>
              </w:rPr>
            </w:pPr>
            <w:r>
              <w:rPr>
                <w:sz w:val="20"/>
              </w:rPr>
              <w:t>15</w:t>
            </w:r>
          </w:p>
        </w:tc>
        <w:tc>
          <w:tcPr>
            <w:tcW w:w="900" w:type="dxa"/>
          </w:tcPr>
          <w:p>
            <w:pPr>
              <w:pStyle w:val="TableParagraph"/>
              <w:spacing w:before="73"/>
              <w:rPr>
                <w:sz w:val="20"/>
              </w:rPr>
            </w:pPr>
            <w:r>
              <w:rPr>
                <w:sz w:val="20"/>
              </w:rPr>
              <w:t>0,165</w:t>
            </w:r>
          </w:p>
        </w:tc>
        <w:tc>
          <w:tcPr>
            <w:tcW w:w="720" w:type="dxa"/>
          </w:tcPr>
          <w:p>
            <w:pPr>
              <w:pStyle w:val="TableParagraph"/>
              <w:spacing w:before="73"/>
              <w:ind w:left="5"/>
              <w:rPr>
                <w:sz w:val="20"/>
              </w:rPr>
            </w:pPr>
            <w:r>
              <w:rPr>
                <w:sz w:val="20"/>
              </w:rPr>
              <w:t>32.2</w:t>
            </w:r>
          </w:p>
        </w:tc>
        <w:tc>
          <w:tcPr>
            <w:tcW w:w="900" w:type="dxa"/>
          </w:tcPr>
          <w:p>
            <w:pPr>
              <w:pStyle w:val="TableParagraph"/>
              <w:spacing w:before="73"/>
              <w:rPr>
                <w:sz w:val="20"/>
              </w:rPr>
            </w:pPr>
            <w:r>
              <w:rPr>
                <w:sz w:val="20"/>
              </w:rPr>
              <w:t>0,091</w:t>
            </w:r>
          </w:p>
        </w:tc>
      </w:tr>
      <w:tr>
        <w:trPr>
          <w:trHeight w:val="313" w:hRule="atLeast"/>
        </w:trPr>
        <w:tc>
          <w:tcPr>
            <w:tcW w:w="919"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before="71"/>
              <w:rPr>
                <w:sz w:val="20"/>
              </w:rPr>
            </w:pPr>
            <w:r>
              <w:rPr>
                <w:sz w:val="20"/>
              </w:rPr>
              <w:t>19</w:t>
            </w:r>
          </w:p>
        </w:tc>
        <w:tc>
          <w:tcPr>
            <w:tcW w:w="1080" w:type="dxa"/>
          </w:tcPr>
          <w:p>
            <w:pPr>
              <w:pStyle w:val="TableParagraph"/>
              <w:spacing w:before="71"/>
              <w:rPr>
                <w:sz w:val="20"/>
              </w:rPr>
            </w:pPr>
            <w:r>
              <w:rPr>
                <w:sz w:val="20"/>
              </w:rPr>
              <w:t>0,039</w:t>
            </w:r>
          </w:p>
        </w:tc>
        <w:tc>
          <w:tcPr>
            <w:tcW w:w="900" w:type="dxa"/>
          </w:tcPr>
          <w:p>
            <w:pPr>
              <w:pStyle w:val="TableParagraph"/>
              <w:spacing w:before="71"/>
              <w:ind w:left="5"/>
              <w:rPr>
                <w:sz w:val="20"/>
              </w:rPr>
            </w:pPr>
            <w:r>
              <w:rPr>
                <w:sz w:val="20"/>
              </w:rPr>
              <w:t>15.2</w:t>
            </w:r>
          </w:p>
        </w:tc>
        <w:tc>
          <w:tcPr>
            <w:tcW w:w="900" w:type="dxa"/>
          </w:tcPr>
          <w:p>
            <w:pPr>
              <w:pStyle w:val="TableParagraph"/>
              <w:spacing w:before="71"/>
              <w:ind w:left="3"/>
              <w:rPr>
                <w:sz w:val="20"/>
              </w:rPr>
            </w:pPr>
            <w:r>
              <w:rPr>
                <w:sz w:val="20"/>
              </w:rPr>
              <w:t>0,037</w:t>
            </w:r>
          </w:p>
        </w:tc>
        <w:tc>
          <w:tcPr>
            <w:tcW w:w="720" w:type="dxa"/>
          </w:tcPr>
          <w:p>
            <w:pPr>
              <w:pStyle w:val="TableParagraph"/>
              <w:spacing w:before="71"/>
              <w:rPr>
                <w:sz w:val="20"/>
              </w:rPr>
            </w:pPr>
            <w:r>
              <w:rPr>
                <w:sz w:val="20"/>
              </w:rPr>
              <w:t>33</w:t>
            </w:r>
          </w:p>
        </w:tc>
        <w:tc>
          <w:tcPr>
            <w:tcW w:w="900" w:type="dxa"/>
          </w:tcPr>
          <w:p>
            <w:pPr>
              <w:pStyle w:val="TableParagraph"/>
              <w:spacing w:before="71"/>
              <w:rPr>
                <w:sz w:val="20"/>
              </w:rPr>
            </w:pPr>
            <w:r>
              <w:rPr>
                <w:sz w:val="20"/>
              </w:rPr>
              <w:t>0,002</w:t>
            </w:r>
          </w:p>
        </w:tc>
      </w:tr>
      <w:tr>
        <w:trPr>
          <w:trHeight w:val="316" w:hRule="atLeast"/>
        </w:trPr>
        <w:tc>
          <w:tcPr>
            <w:tcW w:w="919"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before="73"/>
              <w:rPr>
                <w:sz w:val="20"/>
              </w:rPr>
            </w:pPr>
            <w:r>
              <w:rPr>
                <w:sz w:val="20"/>
              </w:rPr>
              <w:t>20</w:t>
            </w:r>
          </w:p>
        </w:tc>
        <w:tc>
          <w:tcPr>
            <w:tcW w:w="1080" w:type="dxa"/>
          </w:tcPr>
          <w:p>
            <w:pPr>
              <w:pStyle w:val="TableParagraph"/>
              <w:spacing w:before="73"/>
              <w:rPr>
                <w:sz w:val="20"/>
              </w:rPr>
            </w:pPr>
            <w:r>
              <w:rPr>
                <w:sz w:val="20"/>
              </w:rPr>
              <w:t>0,026</w:t>
            </w:r>
          </w:p>
        </w:tc>
        <w:tc>
          <w:tcPr>
            <w:tcW w:w="900" w:type="dxa"/>
          </w:tcPr>
          <w:p>
            <w:pPr>
              <w:pStyle w:val="TableParagraph"/>
              <w:spacing w:before="73"/>
              <w:ind w:left="5"/>
              <w:rPr>
                <w:sz w:val="20"/>
              </w:rPr>
            </w:pPr>
            <w:r>
              <w:rPr>
                <w:sz w:val="20"/>
              </w:rPr>
              <w:t>16</w:t>
            </w:r>
          </w:p>
        </w:tc>
        <w:tc>
          <w:tcPr>
            <w:tcW w:w="900" w:type="dxa"/>
          </w:tcPr>
          <w:p>
            <w:pPr>
              <w:pStyle w:val="TableParagraph"/>
              <w:spacing w:before="73"/>
              <w:ind w:left="3"/>
              <w:rPr>
                <w:sz w:val="20"/>
              </w:rPr>
            </w:pPr>
            <w:r>
              <w:rPr>
                <w:sz w:val="20"/>
              </w:rPr>
              <w:t>0,037</w:t>
            </w:r>
          </w:p>
        </w:tc>
        <w:tc>
          <w:tcPr>
            <w:tcW w:w="720" w:type="dxa"/>
          </w:tcPr>
          <w:p>
            <w:pPr>
              <w:pStyle w:val="TableParagraph"/>
              <w:spacing w:before="73"/>
              <w:rPr>
                <w:sz w:val="20"/>
              </w:rPr>
            </w:pPr>
            <w:r>
              <w:rPr>
                <w:sz w:val="20"/>
              </w:rPr>
              <w:t>33.1</w:t>
            </w:r>
          </w:p>
        </w:tc>
        <w:tc>
          <w:tcPr>
            <w:tcW w:w="900" w:type="dxa"/>
          </w:tcPr>
          <w:p>
            <w:pPr>
              <w:pStyle w:val="TableParagraph"/>
              <w:spacing w:before="73"/>
              <w:ind w:left="5"/>
              <w:rPr>
                <w:sz w:val="20"/>
              </w:rPr>
            </w:pPr>
            <w:r>
              <w:rPr>
                <w:sz w:val="20"/>
              </w:rPr>
              <w:t>0,000</w:t>
            </w:r>
          </w:p>
        </w:tc>
      </w:tr>
      <w:tr>
        <w:trPr>
          <w:trHeight w:val="313" w:hRule="atLeast"/>
        </w:trPr>
        <w:tc>
          <w:tcPr>
            <w:tcW w:w="919"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before="71"/>
              <w:rPr>
                <w:sz w:val="20"/>
              </w:rPr>
            </w:pPr>
            <w:r>
              <w:rPr>
                <w:sz w:val="20"/>
              </w:rPr>
              <w:t>21</w:t>
            </w:r>
          </w:p>
        </w:tc>
        <w:tc>
          <w:tcPr>
            <w:tcW w:w="1080" w:type="dxa"/>
          </w:tcPr>
          <w:p>
            <w:pPr>
              <w:pStyle w:val="TableParagraph"/>
              <w:spacing w:before="71"/>
              <w:rPr>
                <w:sz w:val="20"/>
              </w:rPr>
            </w:pPr>
            <w:r>
              <w:rPr>
                <w:sz w:val="20"/>
              </w:rPr>
              <w:t>0,006</w:t>
            </w:r>
          </w:p>
        </w:tc>
        <w:tc>
          <w:tcPr>
            <w:tcW w:w="900" w:type="dxa"/>
          </w:tcPr>
          <w:p>
            <w:pPr>
              <w:pStyle w:val="TableParagraph"/>
              <w:spacing w:before="71"/>
              <w:ind w:left="5"/>
              <w:rPr>
                <w:sz w:val="20"/>
              </w:rPr>
            </w:pPr>
            <w:r>
              <w:rPr>
                <w:sz w:val="20"/>
              </w:rPr>
              <w:t>16.2</w:t>
            </w:r>
          </w:p>
        </w:tc>
        <w:tc>
          <w:tcPr>
            <w:tcW w:w="900" w:type="dxa"/>
          </w:tcPr>
          <w:p>
            <w:pPr>
              <w:pStyle w:val="TableParagraph"/>
              <w:spacing w:before="71"/>
              <w:ind w:left="3"/>
              <w:rPr>
                <w:sz w:val="20"/>
              </w:rPr>
            </w:pPr>
            <w:r>
              <w:rPr>
                <w:sz w:val="20"/>
              </w:rPr>
              <w:t>0,026</w:t>
            </w:r>
          </w:p>
        </w:tc>
        <w:tc>
          <w:tcPr>
            <w:tcW w:w="720" w:type="dxa"/>
          </w:tcPr>
          <w:p>
            <w:pPr>
              <w:pStyle w:val="TableParagraph"/>
              <w:spacing w:before="71"/>
              <w:rPr>
                <w:sz w:val="20"/>
              </w:rPr>
            </w:pPr>
            <w:r>
              <w:rPr>
                <w:sz w:val="20"/>
              </w:rPr>
              <w:t>33.2</w:t>
            </w:r>
          </w:p>
        </w:tc>
        <w:tc>
          <w:tcPr>
            <w:tcW w:w="900" w:type="dxa"/>
          </w:tcPr>
          <w:p>
            <w:pPr>
              <w:pStyle w:val="TableParagraph"/>
              <w:spacing w:before="71"/>
              <w:ind w:left="5"/>
              <w:rPr>
                <w:sz w:val="20"/>
              </w:rPr>
            </w:pPr>
            <w:r>
              <w:rPr>
                <w:sz w:val="20"/>
              </w:rPr>
              <w:t>0,022</w:t>
            </w:r>
          </w:p>
        </w:tc>
      </w:tr>
      <w:tr>
        <w:trPr>
          <w:trHeight w:val="313" w:hRule="atLeast"/>
        </w:trPr>
        <w:tc>
          <w:tcPr>
            <w:tcW w:w="919"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before="71"/>
              <w:rPr>
                <w:sz w:val="20"/>
              </w:rPr>
            </w:pPr>
            <w:r>
              <w:rPr>
                <w:sz w:val="20"/>
              </w:rPr>
              <w:t>22</w:t>
            </w:r>
          </w:p>
        </w:tc>
        <w:tc>
          <w:tcPr>
            <w:tcW w:w="1080" w:type="dxa"/>
          </w:tcPr>
          <w:p>
            <w:pPr>
              <w:pStyle w:val="TableParagraph"/>
              <w:spacing w:before="71"/>
              <w:rPr>
                <w:sz w:val="20"/>
              </w:rPr>
            </w:pPr>
            <w:r>
              <w:rPr>
                <w:sz w:val="20"/>
              </w:rPr>
              <w:t>0,004</w:t>
            </w:r>
          </w:p>
        </w:tc>
        <w:tc>
          <w:tcPr>
            <w:tcW w:w="900" w:type="dxa"/>
          </w:tcPr>
          <w:p>
            <w:pPr>
              <w:pStyle w:val="TableParagraph"/>
              <w:spacing w:before="71"/>
              <w:ind w:left="5"/>
              <w:rPr>
                <w:sz w:val="20"/>
              </w:rPr>
            </w:pPr>
            <w:r>
              <w:rPr>
                <w:sz w:val="20"/>
              </w:rPr>
              <w:t>17</w:t>
            </w:r>
          </w:p>
        </w:tc>
        <w:tc>
          <w:tcPr>
            <w:tcW w:w="900" w:type="dxa"/>
          </w:tcPr>
          <w:p>
            <w:pPr>
              <w:pStyle w:val="TableParagraph"/>
              <w:spacing w:before="71"/>
              <w:ind w:left="3"/>
              <w:rPr>
                <w:sz w:val="20"/>
              </w:rPr>
            </w:pPr>
            <w:r>
              <w:rPr>
                <w:sz w:val="20"/>
              </w:rPr>
              <w:t>0,002</w:t>
            </w:r>
          </w:p>
        </w:tc>
        <w:tc>
          <w:tcPr>
            <w:tcW w:w="720" w:type="dxa"/>
          </w:tcPr>
          <w:p>
            <w:pPr>
              <w:pStyle w:val="TableParagraph"/>
              <w:spacing w:before="71"/>
              <w:rPr>
                <w:sz w:val="20"/>
              </w:rPr>
            </w:pPr>
            <w:r>
              <w:rPr>
                <w:sz w:val="20"/>
              </w:rPr>
              <w:t>34</w:t>
            </w:r>
          </w:p>
        </w:tc>
        <w:tc>
          <w:tcPr>
            <w:tcW w:w="900" w:type="dxa"/>
          </w:tcPr>
          <w:p>
            <w:pPr>
              <w:pStyle w:val="TableParagraph"/>
              <w:spacing w:before="71"/>
              <w:rPr>
                <w:sz w:val="20"/>
              </w:rPr>
            </w:pPr>
            <w:r>
              <w:rPr>
                <w:sz w:val="20"/>
              </w:rPr>
              <w:t>0,000</w:t>
            </w:r>
          </w:p>
        </w:tc>
      </w:tr>
      <w:tr>
        <w:trPr>
          <w:trHeight w:val="316" w:hRule="atLeast"/>
        </w:trPr>
        <w:tc>
          <w:tcPr>
            <w:tcW w:w="919"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before="73"/>
              <w:rPr>
                <w:sz w:val="20"/>
              </w:rPr>
            </w:pPr>
            <w:r>
              <w:rPr>
                <w:sz w:val="20"/>
              </w:rPr>
              <w:t>23</w:t>
            </w:r>
          </w:p>
        </w:tc>
        <w:tc>
          <w:tcPr>
            <w:tcW w:w="1080" w:type="dxa"/>
          </w:tcPr>
          <w:p>
            <w:pPr>
              <w:pStyle w:val="TableParagraph"/>
              <w:spacing w:before="73"/>
              <w:rPr>
                <w:sz w:val="20"/>
              </w:rPr>
            </w:pPr>
            <w:r>
              <w:rPr>
                <w:sz w:val="20"/>
              </w:rPr>
              <w:t>0,000</w:t>
            </w:r>
          </w:p>
        </w:tc>
        <w:tc>
          <w:tcPr>
            <w:tcW w:w="900" w:type="dxa"/>
          </w:tcPr>
          <w:p>
            <w:pPr>
              <w:pStyle w:val="TableParagraph"/>
              <w:spacing w:before="73"/>
              <w:ind w:left="5"/>
              <w:rPr>
                <w:sz w:val="20"/>
              </w:rPr>
            </w:pPr>
            <w:r>
              <w:rPr>
                <w:sz w:val="20"/>
              </w:rPr>
              <w:t>17.2</w:t>
            </w:r>
          </w:p>
        </w:tc>
        <w:tc>
          <w:tcPr>
            <w:tcW w:w="900" w:type="dxa"/>
          </w:tcPr>
          <w:p>
            <w:pPr>
              <w:pStyle w:val="TableParagraph"/>
              <w:spacing w:before="73"/>
              <w:ind w:left="3"/>
              <w:rPr>
                <w:sz w:val="20"/>
              </w:rPr>
            </w:pPr>
            <w:r>
              <w:rPr>
                <w:sz w:val="20"/>
              </w:rPr>
              <w:t>0,006</w:t>
            </w:r>
          </w:p>
        </w:tc>
        <w:tc>
          <w:tcPr>
            <w:tcW w:w="720" w:type="dxa"/>
          </w:tcPr>
          <w:p>
            <w:pPr>
              <w:pStyle w:val="TableParagraph"/>
              <w:spacing w:before="73"/>
              <w:rPr>
                <w:sz w:val="20"/>
              </w:rPr>
            </w:pPr>
            <w:r>
              <w:rPr>
                <w:sz w:val="20"/>
              </w:rPr>
              <w:t>34.2</w:t>
            </w:r>
          </w:p>
        </w:tc>
        <w:tc>
          <w:tcPr>
            <w:tcW w:w="900" w:type="dxa"/>
          </w:tcPr>
          <w:p>
            <w:pPr>
              <w:pStyle w:val="TableParagraph"/>
              <w:spacing w:before="73"/>
              <w:ind w:left="5"/>
              <w:rPr>
                <w:sz w:val="20"/>
              </w:rPr>
            </w:pPr>
            <w:r>
              <w:rPr>
                <w:sz w:val="20"/>
              </w:rPr>
              <w:t>0,000</w:t>
            </w:r>
          </w:p>
        </w:tc>
      </w:tr>
      <w:tr>
        <w:trPr>
          <w:trHeight w:val="313" w:hRule="atLeast"/>
        </w:trPr>
        <w:tc>
          <w:tcPr>
            <w:tcW w:w="919"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before="71"/>
              <w:rPr>
                <w:sz w:val="20"/>
              </w:rPr>
            </w:pPr>
            <w:r>
              <w:rPr>
                <w:sz w:val="20"/>
              </w:rPr>
              <w:t>25</w:t>
            </w:r>
          </w:p>
        </w:tc>
        <w:tc>
          <w:tcPr>
            <w:tcW w:w="1080" w:type="dxa"/>
          </w:tcPr>
          <w:p>
            <w:pPr>
              <w:pStyle w:val="TableParagraph"/>
              <w:spacing w:before="71"/>
              <w:rPr>
                <w:sz w:val="20"/>
              </w:rPr>
            </w:pPr>
            <w:r>
              <w:rPr>
                <w:sz w:val="20"/>
              </w:rPr>
              <w:t>0,002</w:t>
            </w:r>
          </w:p>
        </w:tc>
        <w:tc>
          <w:tcPr>
            <w:tcW w:w="900" w:type="dxa"/>
          </w:tcPr>
          <w:p>
            <w:pPr>
              <w:pStyle w:val="TableParagraph"/>
              <w:spacing w:before="71"/>
              <w:ind w:left="5"/>
              <w:rPr>
                <w:sz w:val="20"/>
              </w:rPr>
            </w:pPr>
            <w:r>
              <w:rPr>
                <w:sz w:val="20"/>
              </w:rPr>
              <w:t>18.2</w:t>
            </w:r>
          </w:p>
        </w:tc>
        <w:tc>
          <w:tcPr>
            <w:tcW w:w="900" w:type="dxa"/>
          </w:tcPr>
          <w:p>
            <w:pPr>
              <w:pStyle w:val="TableParagraph"/>
              <w:spacing w:before="71"/>
              <w:ind w:left="3"/>
              <w:rPr>
                <w:sz w:val="20"/>
              </w:rPr>
            </w:pPr>
            <w:r>
              <w:rPr>
                <w:sz w:val="20"/>
              </w:rPr>
              <w:t>0,002</w:t>
            </w:r>
          </w:p>
        </w:tc>
        <w:tc>
          <w:tcPr>
            <w:tcW w:w="720" w:type="dxa"/>
          </w:tcPr>
          <w:p>
            <w:pPr>
              <w:pStyle w:val="TableParagraph"/>
              <w:spacing w:before="71"/>
              <w:rPr>
                <w:sz w:val="20"/>
              </w:rPr>
            </w:pPr>
            <w:r>
              <w:rPr>
                <w:sz w:val="20"/>
              </w:rPr>
              <w:t>35</w:t>
            </w:r>
          </w:p>
        </w:tc>
        <w:tc>
          <w:tcPr>
            <w:tcW w:w="900" w:type="dxa"/>
          </w:tcPr>
          <w:p>
            <w:pPr>
              <w:pStyle w:val="TableParagraph"/>
              <w:spacing w:before="71"/>
              <w:rPr>
                <w:sz w:val="20"/>
              </w:rPr>
            </w:pPr>
            <w:r>
              <w:rPr>
                <w:sz w:val="20"/>
              </w:rPr>
              <w:t>0,000</w:t>
            </w:r>
          </w:p>
        </w:tc>
      </w:tr>
      <w:tr>
        <w:trPr>
          <w:trHeight w:val="316" w:hRule="atLeast"/>
        </w:trPr>
        <w:tc>
          <w:tcPr>
            <w:tcW w:w="919"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line="240" w:lineRule="auto"/>
              <w:ind w:left="0"/>
              <w:rPr>
                <w:rFonts w:ascii="Times New Roman"/>
                <w:sz w:val="20"/>
              </w:rPr>
            </w:pPr>
          </w:p>
        </w:tc>
        <w:tc>
          <w:tcPr>
            <w:tcW w:w="108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before="73"/>
              <w:rPr>
                <w:sz w:val="20"/>
              </w:rPr>
            </w:pPr>
            <w:r>
              <w:rPr>
                <w:sz w:val="20"/>
              </w:rPr>
              <w:t>35.2</w:t>
            </w:r>
          </w:p>
        </w:tc>
        <w:tc>
          <w:tcPr>
            <w:tcW w:w="900" w:type="dxa"/>
          </w:tcPr>
          <w:p>
            <w:pPr>
              <w:pStyle w:val="TableParagraph"/>
              <w:spacing w:before="73"/>
              <w:ind w:left="5"/>
              <w:rPr>
                <w:sz w:val="20"/>
              </w:rPr>
            </w:pPr>
            <w:r>
              <w:rPr>
                <w:sz w:val="20"/>
              </w:rPr>
              <w:t>0,002</w:t>
            </w:r>
          </w:p>
        </w:tc>
      </w:tr>
      <w:tr>
        <w:trPr>
          <w:trHeight w:val="313" w:hRule="atLeast"/>
        </w:trPr>
        <w:tc>
          <w:tcPr>
            <w:tcW w:w="919"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line="240" w:lineRule="auto"/>
              <w:ind w:left="0"/>
              <w:rPr>
                <w:rFonts w:ascii="Times New Roman"/>
                <w:sz w:val="20"/>
              </w:rPr>
            </w:pPr>
          </w:p>
        </w:tc>
        <w:tc>
          <w:tcPr>
            <w:tcW w:w="108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900" w:type="dxa"/>
          </w:tcPr>
          <w:p>
            <w:pPr>
              <w:pStyle w:val="TableParagraph"/>
              <w:spacing w:line="240" w:lineRule="auto"/>
              <w:ind w:left="0"/>
              <w:rPr>
                <w:rFonts w:ascii="Times New Roman"/>
                <w:sz w:val="20"/>
              </w:rPr>
            </w:pPr>
          </w:p>
        </w:tc>
        <w:tc>
          <w:tcPr>
            <w:tcW w:w="720" w:type="dxa"/>
          </w:tcPr>
          <w:p>
            <w:pPr>
              <w:pStyle w:val="TableParagraph"/>
              <w:spacing w:before="71"/>
              <w:rPr>
                <w:sz w:val="20"/>
              </w:rPr>
            </w:pPr>
            <w:r>
              <w:rPr>
                <w:sz w:val="20"/>
              </w:rPr>
              <w:t>36</w:t>
            </w:r>
          </w:p>
        </w:tc>
        <w:tc>
          <w:tcPr>
            <w:tcW w:w="900" w:type="dxa"/>
          </w:tcPr>
          <w:p>
            <w:pPr>
              <w:pStyle w:val="TableParagraph"/>
              <w:spacing w:before="71"/>
              <w:rPr>
                <w:sz w:val="20"/>
              </w:rPr>
            </w:pPr>
            <w:r>
              <w:rPr>
                <w:sz w:val="20"/>
              </w:rPr>
              <w:t>0,000</w:t>
            </w:r>
          </w:p>
        </w:tc>
      </w:tr>
    </w:tbl>
    <w:p>
      <w:pPr>
        <w:spacing w:line="261" w:lineRule="auto" w:before="19"/>
        <w:ind w:left="957" w:right="1042" w:firstLine="0"/>
        <w:jc w:val="left"/>
        <w:rPr>
          <w:i/>
          <w:sz w:val="24"/>
        </w:rPr>
      </w:pPr>
      <w:r>
        <w:rPr>
          <w:i/>
          <w:sz w:val="24"/>
        </w:rPr>
        <w:t>Figuur 12: Frequenties voor Nederland van de DNA-kenmerken VWA, </w:t>
      </w:r>
      <w:r>
        <w:rPr>
          <w:i/>
          <w:sz w:val="24"/>
        </w:rPr>
        <w:t>D16S539, D18S51, D19S433 en D21S11</w:t>
      </w:r>
    </w:p>
    <w:sectPr>
      <w:footerReference w:type="default" r:id="rId16"/>
      <w:pgSz w:w="11910" w:h="16840"/>
      <w:pgMar w:footer="734" w:header="0" w:top="840" w:bottom="920" w:left="1140" w:right="1320"/>
      <w:pgNumType w:start="1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 w:name="Carlito">
    <w:altName w:val="Carlito"/>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328.630951pt;margin-top:794.223145pt;width:29.1pt;height:13.15pt;mso-position-horizontal-relative:page;mso-position-vertical-relative:page;z-index:-16551424" type="#_x0000_t202" filled="false" stroked="false">
          <v:textbox inset="0,0,0,0">
            <w:txbxContent>
              <w:p>
                <w:pPr>
                  <w:spacing w:before="12"/>
                  <w:ind w:left="60" w:right="0" w:firstLine="0"/>
                  <w:jc w:val="left"/>
                  <w:rPr>
                    <w:sz w:val="20"/>
                  </w:rPr>
                </w:pPr>
                <w:r>
                  <w:rPr/>
                  <w:fldChar w:fldCharType="begin"/>
                </w:r>
                <w:r>
                  <w:rPr>
                    <w:sz w:val="20"/>
                  </w:rPr>
                  <w:instrText> PAGE </w:instrText>
                </w:r>
                <w:r>
                  <w:rPr/>
                  <w:fldChar w:fldCharType="separate"/>
                </w:r>
                <w:r>
                  <w:rPr/>
                  <w:t>1</w:t>
                </w:r>
                <w:r>
                  <w:rPr/>
                  <w:fldChar w:fldCharType="end"/>
                </w:r>
                <w:r>
                  <w:rPr>
                    <w:sz w:val="20"/>
                  </w:rPr>
                  <w:t> / 13</w:t>
                </w:r>
              </w:p>
            </w:txbxContent>
          </v:textbox>
          <w10:wrap type="none"/>
        </v:shape>
      </w:pict>
    </w:r>
    <w:r>
      <w:rPr/>
      <w:pict>
        <v:shape style="position:absolute;margin-left:103.879997pt;margin-top:795.961304pt;width:65.55pt;height:11pt;mso-position-horizontal-relative:page;mso-position-vertical-relative:page;z-index:-16550912" type="#_x0000_t202" filled="false" stroked="false">
          <v:textbox inset="0,0,0,0">
            <w:txbxContent>
              <w:p>
                <w:pPr>
                  <w:spacing w:before="15"/>
                  <w:ind w:left="20" w:right="0" w:firstLine="0"/>
                  <w:jc w:val="left"/>
                  <w:rPr>
                    <w:sz w:val="16"/>
                  </w:rPr>
                </w:pPr>
                <w:r>
                  <w:rPr>
                    <w:sz w:val="16"/>
                  </w:rPr>
                  <w:t>HF-1035-s-22-1-o</w:t>
                </w:r>
              </w:p>
            </w:txbxContent>
          </v:textbox>
          <w10:wrap type="none"/>
        </v:shape>
      </w:pict>
    </w:r>
    <w:r>
      <w:rPr/>
      <w:pict>
        <v:shape style="position:absolute;margin-left:455pt;margin-top:795.961304pt;width:67.7pt;height:11pt;mso-position-horizontal-relative:page;mso-position-vertical-relative:page;z-index:-16550400" type="#_x0000_t202" filled="false" stroked="false">
          <v:textbox inset="0,0,0,0">
            <w:txbxContent>
              <w:p>
                <w:pPr>
                  <w:spacing w:before="15"/>
                  <w:ind w:left="20" w:right="0" w:firstLine="0"/>
                  <w:jc w:val="left"/>
                  <w:rPr>
                    <w:sz w:val="16"/>
                  </w:rPr>
                </w:pPr>
                <w:r>
                  <w:rPr>
                    <w:sz w:val="16"/>
                  </w:rPr>
                  <w:t>lees verder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28.630951pt;margin-top:794.223145pt;width:34.550pt;height:13.15pt;mso-position-horizontal-relative:page;mso-position-vertical-relative:page;z-index:-16549888" type="#_x0000_t202" filled="false" stroked="false">
          <v:textbox inset="0,0,0,0">
            <w:txbxContent>
              <w:p>
                <w:pPr>
                  <w:spacing w:before="12"/>
                  <w:ind w:left="60" w:right="0" w:firstLine="0"/>
                  <w:jc w:val="left"/>
                  <w:rPr>
                    <w:sz w:val="20"/>
                  </w:rPr>
                </w:pPr>
                <w:r>
                  <w:rPr/>
                  <w:fldChar w:fldCharType="begin"/>
                </w:r>
                <w:r>
                  <w:rPr>
                    <w:sz w:val="20"/>
                  </w:rPr>
                  <w:instrText> PAGE </w:instrText>
                </w:r>
                <w:r>
                  <w:rPr/>
                  <w:fldChar w:fldCharType="separate"/>
                </w:r>
                <w:r>
                  <w:rPr/>
                  <w:t>10</w:t>
                </w:r>
                <w:r>
                  <w:rPr/>
                  <w:fldChar w:fldCharType="end"/>
                </w:r>
                <w:r>
                  <w:rPr>
                    <w:sz w:val="20"/>
                  </w:rPr>
                  <w:t> / 13</w:t>
                </w:r>
              </w:p>
            </w:txbxContent>
          </v:textbox>
          <w10:wrap type="none"/>
        </v:shape>
      </w:pict>
    </w:r>
    <w:r>
      <w:rPr/>
      <w:pict>
        <v:shape style="position:absolute;margin-left:103.879997pt;margin-top:795.961304pt;width:65.55pt;height:11pt;mso-position-horizontal-relative:page;mso-position-vertical-relative:page;z-index:-16549376" type="#_x0000_t202" filled="false" stroked="false">
          <v:textbox inset="0,0,0,0">
            <w:txbxContent>
              <w:p>
                <w:pPr>
                  <w:spacing w:before="15"/>
                  <w:ind w:left="20" w:right="0" w:firstLine="0"/>
                  <w:jc w:val="left"/>
                  <w:rPr>
                    <w:sz w:val="16"/>
                  </w:rPr>
                </w:pPr>
                <w:r>
                  <w:rPr>
                    <w:sz w:val="16"/>
                  </w:rPr>
                  <w:t>HF-1035-s-22-1-o</w:t>
                </w:r>
              </w:p>
            </w:txbxContent>
          </v:textbox>
          <w10:wrap type="none"/>
        </v:shape>
      </w:pict>
    </w:r>
    <w:r>
      <w:rPr/>
      <w:pict>
        <v:shape style="position:absolute;margin-left:455pt;margin-top:795.961304pt;width:67.7pt;height:11pt;mso-position-horizontal-relative:page;mso-position-vertical-relative:page;z-index:-16548864" type="#_x0000_t202" filled="false" stroked="false">
          <v:textbox inset="0,0,0,0">
            <w:txbxContent>
              <w:p>
                <w:pPr>
                  <w:spacing w:before="15"/>
                  <w:ind w:left="20" w:right="0" w:firstLine="0"/>
                  <w:jc w:val="left"/>
                  <w:rPr>
                    <w:sz w:val="16"/>
                  </w:rPr>
                </w:pPr>
                <w:r>
                  <w:rPr>
                    <w:sz w:val="16"/>
                  </w:rPr>
                  <w:t>lees verder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28.630951pt;margin-top:794.223145pt;width:34.550pt;height:13.15pt;mso-position-horizontal-relative:page;mso-position-vertical-relative:page;z-index:-16548352" type="#_x0000_t202" filled="false" stroked="false">
          <v:textbox inset="0,0,0,0">
            <w:txbxContent>
              <w:p>
                <w:pPr>
                  <w:spacing w:before="12"/>
                  <w:ind w:left="60" w:right="0" w:firstLine="0"/>
                  <w:jc w:val="left"/>
                  <w:rPr>
                    <w:sz w:val="20"/>
                  </w:rPr>
                </w:pPr>
                <w:r>
                  <w:rPr/>
                  <w:fldChar w:fldCharType="begin"/>
                </w:r>
                <w:r>
                  <w:rPr>
                    <w:sz w:val="20"/>
                  </w:rPr>
                  <w:instrText> PAGE </w:instrText>
                </w:r>
                <w:r>
                  <w:rPr/>
                  <w:fldChar w:fldCharType="separate"/>
                </w:r>
                <w:r>
                  <w:rPr/>
                  <w:t>13</w:t>
                </w:r>
                <w:r>
                  <w:rPr/>
                  <w:fldChar w:fldCharType="end"/>
                </w:r>
                <w:r>
                  <w:rPr>
                    <w:sz w:val="20"/>
                  </w:rPr>
                  <w:t> / 13</w:t>
                </w:r>
              </w:p>
            </w:txbxContent>
          </v:textbox>
          <w10:wrap type="none"/>
        </v:shape>
      </w:pict>
    </w:r>
    <w:r>
      <w:rPr/>
      <w:pict>
        <v:shape style="position:absolute;margin-left:103.879997pt;margin-top:795.961304pt;width:65.55pt;height:11pt;mso-position-horizontal-relative:page;mso-position-vertical-relative:page;z-index:-16547840" type="#_x0000_t202" filled="false" stroked="false">
          <v:textbox inset="0,0,0,0">
            <w:txbxContent>
              <w:p>
                <w:pPr>
                  <w:spacing w:before="15"/>
                  <w:ind w:left="20" w:right="0" w:firstLine="0"/>
                  <w:jc w:val="left"/>
                  <w:rPr>
                    <w:sz w:val="16"/>
                  </w:rPr>
                </w:pPr>
                <w:r>
                  <w:rPr>
                    <w:sz w:val="16"/>
                  </w:rPr>
                  <w:t>HF-1035-s-22-1-o</w:t>
                </w:r>
              </w:p>
            </w:txbxContent>
          </v:textbox>
          <w10:wrap type="none"/>
        </v:shape>
      </w:pict>
    </w:r>
    <w:r>
      <w:rPr/>
      <w:pict>
        <v:shape style="position:absolute;margin-left:494pt;margin-top:795.961304pt;width:28.75pt;height:11pt;mso-position-horizontal-relative:page;mso-position-vertical-relative:page;z-index:-16547328" type="#_x0000_t202" filled="false" stroked="false">
          <v:textbox inset="0,0,0,0">
            <w:txbxContent>
              <w:p>
                <w:pPr>
                  <w:spacing w:before="15"/>
                  <w:ind w:left="20" w:right="0" w:firstLine="0"/>
                  <w:jc w:val="left"/>
                  <w:rPr>
                    <w:sz w:val="16"/>
                  </w:rPr>
                </w:pPr>
                <w:r>
                  <w:rPr>
                    <w:sz w:val="16"/>
                  </w:rPr>
                  <w:t>einde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upperLetter"/>
      <w:lvlText w:val="%1"/>
      <w:lvlJc w:val="left"/>
      <w:pPr>
        <w:ind w:left="1524" w:hanging="567"/>
        <w:jc w:val="left"/>
      </w:pPr>
      <w:rPr>
        <w:rFonts w:hint="default" w:ascii="Arial" w:hAnsi="Arial" w:eastAsia="Arial" w:cs="Arial"/>
        <w:b/>
        <w:bCs/>
        <w:spacing w:val="-3"/>
        <w:w w:val="100"/>
        <w:sz w:val="24"/>
        <w:szCs w:val="24"/>
        <w:lang w:val="nl-NL" w:eastAsia="en-US" w:bidi="ar-SA"/>
      </w:rPr>
    </w:lvl>
    <w:lvl w:ilvl="1">
      <w:start w:val="0"/>
      <w:numFmt w:val="bullet"/>
      <w:lvlText w:val="•"/>
      <w:lvlJc w:val="left"/>
      <w:pPr>
        <w:ind w:left="2312" w:hanging="567"/>
      </w:pPr>
      <w:rPr>
        <w:rFonts w:hint="default"/>
        <w:lang w:val="nl-NL" w:eastAsia="en-US" w:bidi="ar-SA"/>
      </w:rPr>
    </w:lvl>
    <w:lvl w:ilvl="2">
      <w:start w:val="0"/>
      <w:numFmt w:val="bullet"/>
      <w:lvlText w:val="•"/>
      <w:lvlJc w:val="left"/>
      <w:pPr>
        <w:ind w:left="3105" w:hanging="567"/>
      </w:pPr>
      <w:rPr>
        <w:rFonts w:hint="default"/>
        <w:lang w:val="nl-NL" w:eastAsia="en-US" w:bidi="ar-SA"/>
      </w:rPr>
    </w:lvl>
    <w:lvl w:ilvl="3">
      <w:start w:val="0"/>
      <w:numFmt w:val="bullet"/>
      <w:lvlText w:val="•"/>
      <w:lvlJc w:val="left"/>
      <w:pPr>
        <w:ind w:left="3897" w:hanging="567"/>
      </w:pPr>
      <w:rPr>
        <w:rFonts w:hint="default"/>
        <w:lang w:val="nl-NL" w:eastAsia="en-US" w:bidi="ar-SA"/>
      </w:rPr>
    </w:lvl>
    <w:lvl w:ilvl="4">
      <w:start w:val="0"/>
      <w:numFmt w:val="bullet"/>
      <w:lvlText w:val="•"/>
      <w:lvlJc w:val="left"/>
      <w:pPr>
        <w:ind w:left="4690" w:hanging="567"/>
      </w:pPr>
      <w:rPr>
        <w:rFonts w:hint="default"/>
        <w:lang w:val="nl-NL" w:eastAsia="en-US" w:bidi="ar-SA"/>
      </w:rPr>
    </w:lvl>
    <w:lvl w:ilvl="5">
      <w:start w:val="0"/>
      <w:numFmt w:val="bullet"/>
      <w:lvlText w:val="•"/>
      <w:lvlJc w:val="left"/>
      <w:pPr>
        <w:ind w:left="5483" w:hanging="567"/>
      </w:pPr>
      <w:rPr>
        <w:rFonts w:hint="default"/>
        <w:lang w:val="nl-NL" w:eastAsia="en-US" w:bidi="ar-SA"/>
      </w:rPr>
    </w:lvl>
    <w:lvl w:ilvl="6">
      <w:start w:val="0"/>
      <w:numFmt w:val="bullet"/>
      <w:lvlText w:val="•"/>
      <w:lvlJc w:val="left"/>
      <w:pPr>
        <w:ind w:left="6275" w:hanging="567"/>
      </w:pPr>
      <w:rPr>
        <w:rFonts w:hint="default"/>
        <w:lang w:val="nl-NL" w:eastAsia="en-US" w:bidi="ar-SA"/>
      </w:rPr>
    </w:lvl>
    <w:lvl w:ilvl="7">
      <w:start w:val="0"/>
      <w:numFmt w:val="bullet"/>
      <w:lvlText w:val="•"/>
      <w:lvlJc w:val="left"/>
      <w:pPr>
        <w:ind w:left="7068" w:hanging="567"/>
      </w:pPr>
      <w:rPr>
        <w:rFonts w:hint="default"/>
        <w:lang w:val="nl-NL" w:eastAsia="en-US" w:bidi="ar-SA"/>
      </w:rPr>
    </w:lvl>
    <w:lvl w:ilvl="8">
      <w:start w:val="0"/>
      <w:numFmt w:val="bullet"/>
      <w:lvlText w:val="•"/>
      <w:lvlJc w:val="left"/>
      <w:pPr>
        <w:ind w:left="7861" w:hanging="567"/>
      </w:pPr>
      <w:rPr>
        <w:rFonts w:hint="default"/>
        <w:lang w:val="nl-NL" w:eastAsia="en-US" w:bidi="ar-SA"/>
      </w:rPr>
    </w:lvl>
  </w:abstractNum>
  <w:abstractNum w:abstractNumId="2">
    <w:multiLevelType w:val="hybridMultilevel"/>
    <w:lvl w:ilvl="0">
      <w:start w:val="0"/>
      <w:numFmt w:val="bullet"/>
      <w:lvlText w:val="-"/>
      <w:lvlJc w:val="left"/>
      <w:pPr>
        <w:ind w:left="1324" w:hanging="361"/>
      </w:pPr>
      <w:rPr>
        <w:rFonts w:hint="default" w:ascii="Arial" w:hAnsi="Arial" w:eastAsia="Arial" w:cs="Arial"/>
        <w:spacing w:val="-3"/>
        <w:w w:val="100"/>
        <w:sz w:val="24"/>
        <w:szCs w:val="24"/>
        <w:lang w:val="nl-NL" w:eastAsia="en-US" w:bidi="ar-SA"/>
      </w:rPr>
    </w:lvl>
    <w:lvl w:ilvl="1">
      <w:start w:val="0"/>
      <w:numFmt w:val="bullet"/>
      <w:lvlText w:val="•"/>
      <w:lvlJc w:val="left"/>
      <w:pPr>
        <w:ind w:left="2132" w:hanging="361"/>
      </w:pPr>
      <w:rPr>
        <w:rFonts w:hint="default"/>
        <w:lang w:val="nl-NL" w:eastAsia="en-US" w:bidi="ar-SA"/>
      </w:rPr>
    </w:lvl>
    <w:lvl w:ilvl="2">
      <w:start w:val="0"/>
      <w:numFmt w:val="bullet"/>
      <w:lvlText w:val="•"/>
      <w:lvlJc w:val="left"/>
      <w:pPr>
        <w:ind w:left="2945" w:hanging="361"/>
      </w:pPr>
      <w:rPr>
        <w:rFonts w:hint="default"/>
        <w:lang w:val="nl-NL" w:eastAsia="en-US" w:bidi="ar-SA"/>
      </w:rPr>
    </w:lvl>
    <w:lvl w:ilvl="3">
      <w:start w:val="0"/>
      <w:numFmt w:val="bullet"/>
      <w:lvlText w:val="•"/>
      <w:lvlJc w:val="left"/>
      <w:pPr>
        <w:ind w:left="3757" w:hanging="361"/>
      </w:pPr>
      <w:rPr>
        <w:rFonts w:hint="default"/>
        <w:lang w:val="nl-NL" w:eastAsia="en-US" w:bidi="ar-SA"/>
      </w:rPr>
    </w:lvl>
    <w:lvl w:ilvl="4">
      <w:start w:val="0"/>
      <w:numFmt w:val="bullet"/>
      <w:lvlText w:val="•"/>
      <w:lvlJc w:val="left"/>
      <w:pPr>
        <w:ind w:left="4570" w:hanging="361"/>
      </w:pPr>
      <w:rPr>
        <w:rFonts w:hint="default"/>
        <w:lang w:val="nl-NL" w:eastAsia="en-US" w:bidi="ar-SA"/>
      </w:rPr>
    </w:lvl>
    <w:lvl w:ilvl="5">
      <w:start w:val="0"/>
      <w:numFmt w:val="bullet"/>
      <w:lvlText w:val="•"/>
      <w:lvlJc w:val="left"/>
      <w:pPr>
        <w:ind w:left="5383" w:hanging="361"/>
      </w:pPr>
      <w:rPr>
        <w:rFonts w:hint="default"/>
        <w:lang w:val="nl-NL" w:eastAsia="en-US" w:bidi="ar-SA"/>
      </w:rPr>
    </w:lvl>
    <w:lvl w:ilvl="6">
      <w:start w:val="0"/>
      <w:numFmt w:val="bullet"/>
      <w:lvlText w:val="•"/>
      <w:lvlJc w:val="left"/>
      <w:pPr>
        <w:ind w:left="6195" w:hanging="361"/>
      </w:pPr>
      <w:rPr>
        <w:rFonts w:hint="default"/>
        <w:lang w:val="nl-NL" w:eastAsia="en-US" w:bidi="ar-SA"/>
      </w:rPr>
    </w:lvl>
    <w:lvl w:ilvl="7">
      <w:start w:val="0"/>
      <w:numFmt w:val="bullet"/>
      <w:lvlText w:val="•"/>
      <w:lvlJc w:val="left"/>
      <w:pPr>
        <w:ind w:left="7008" w:hanging="361"/>
      </w:pPr>
      <w:rPr>
        <w:rFonts w:hint="default"/>
        <w:lang w:val="nl-NL" w:eastAsia="en-US" w:bidi="ar-SA"/>
      </w:rPr>
    </w:lvl>
    <w:lvl w:ilvl="8">
      <w:start w:val="0"/>
      <w:numFmt w:val="bullet"/>
      <w:lvlText w:val="•"/>
      <w:lvlJc w:val="left"/>
      <w:pPr>
        <w:ind w:left="7821" w:hanging="361"/>
      </w:pPr>
      <w:rPr>
        <w:rFonts w:hint="default"/>
        <w:lang w:val="nl-NL" w:eastAsia="en-US" w:bidi="ar-SA"/>
      </w:rPr>
    </w:lvl>
  </w:abstractNum>
  <w:abstractNum w:abstractNumId="1">
    <w:multiLevelType w:val="hybridMultilevel"/>
    <w:lvl w:ilvl="0">
      <w:start w:val="1"/>
      <w:numFmt w:val="lowerLetter"/>
      <w:lvlText w:val="%1"/>
      <w:lvlJc w:val="left"/>
      <w:pPr>
        <w:ind w:left="1384" w:hanging="428"/>
        <w:jc w:val="left"/>
      </w:pPr>
      <w:rPr>
        <w:rFonts w:hint="default" w:ascii="Arial" w:hAnsi="Arial" w:eastAsia="Arial" w:cs="Arial"/>
        <w:b/>
        <w:bCs/>
        <w:spacing w:val="-4"/>
        <w:w w:val="100"/>
        <w:sz w:val="24"/>
        <w:szCs w:val="24"/>
        <w:lang w:val="nl-NL" w:eastAsia="en-US" w:bidi="ar-SA"/>
      </w:rPr>
    </w:lvl>
    <w:lvl w:ilvl="1">
      <w:start w:val="0"/>
      <w:numFmt w:val="bullet"/>
      <w:lvlText w:val="•"/>
      <w:lvlJc w:val="left"/>
      <w:pPr>
        <w:ind w:left="2186" w:hanging="428"/>
      </w:pPr>
      <w:rPr>
        <w:rFonts w:hint="default"/>
        <w:lang w:val="nl-NL" w:eastAsia="en-US" w:bidi="ar-SA"/>
      </w:rPr>
    </w:lvl>
    <w:lvl w:ilvl="2">
      <w:start w:val="0"/>
      <w:numFmt w:val="bullet"/>
      <w:lvlText w:val="•"/>
      <w:lvlJc w:val="left"/>
      <w:pPr>
        <w:ind w:left="2993" w:hanging="428"/>
      </w:pPr>
      <w:rPr>
        <w:rFonts w:hint="default"/>
        <w:lang w:val="nl-NL" w:eastAsia="en-US" w:bidi="ar-SA"/>
      </w:rPr>
    </w:lvl>
    <w:lvl w:ilvl="3">
      <w:start w:val="0"/>
      <w:numFmt w:val="bullet"/>
      <w:lvlText w:val="•"/>
      <w:lvlJc w:val="left"/>
      <w:pPr>
        <w:ind w:left="3799" w:hanging="428"/>
      </w:pPr>
      <w:rPr>
        <w:rFonts w:hint="default"/>
        <w:lang w:val="nl-NL" w:eastAsia="en-US" w:bidi="ar-SA"/>
      </w:rPr>
    </w:lvl>
    <w:lvl w:ilvl="4">
      <w:start w:val="0"/>
      <w:numFmt w:val="bullet"/>
      <w:lvlText w:val="•"/>
      <w:lvlJc w:val="left"/>
      <w:pPr>
        <w:ind w:left="4606" w:hanging="428"/>
      </w:pPr>
      <w:rPr>
        <w:rFonts w:hint="default"/>
        <w:lang w:val="nl-NL" w:eastAsia="en-US" w:bidi="ar-SA"/>
      </w:rPr>
    </w:lvl>
    <w:lvl w:ilvl="5">
      <w:start w:val="0"/>
      <w:numFmt w:val="bullet"/>
      <w:lvlText w:val="•"/>
      <w:lvlJc w:val="left"/>
      <w:pPr>
        <w:ind w:left="5413" w:hanging="428"/>
      </w:pPr>
      <w:rPr>
        <w:rFonts w:hint="default"/>
        <w:lang w:val="nl-NL" w:eastAsia="en-US" w:bidi="ar-SA"/>
      </w:rPr>
    </w:lvl>
    <w:lvl w:ilvl="6">
      <w:start w:val="0"/>
      <w:numFmt w:val="bullet"/>
      <w:lvlText w:val="•"/>
      <w:lvlJc w:val="left"/>
      <w:pPr>
        <w:ind w:left="6219" w:hanging="428"/>
      </w:pPr>
      <w:rPr>
        <w:rFonts w:hint="default"/>
        <w:lang w:val="nl-NL" w:eastAsia="en-US" w:bidi="ar-SA"/>
      </w:rPr>
    </w:lvl>
    <w:lvl w:ilvl="7">
      <w:start w:val="0"/>
      <w:numFmt w:val="bullet"/>
      <w:lvlText w:val="•"/>
      <w:lvlJc w:val="left"/>
      <w:pPr>
        <w:ind w:left="7026" w:hanging="428"/>
      </w:pPr>
      <w:rPr>
        <w:rFonts w:hint="default"/>
        <w:lang w:val="nl-NL" w:eastAsia="en-US" w:bidi="ar-SA"/>
      </w:rPr>
    </w:lvl>
    <w:lvl w:ilvl="8">
      <w:start w:val="0"/>
      <w:numFmt w:val="bullet"/>
      <w:lvlText w:val="•"/>
      <w:lvlJc w:val="left"/>
      <w:pPr>
        <w:ind w:left="7833" w:hanging="428"/>
      </w:pPr>
      <w:rPr>
        <w:rFonts w:hint="default"/>
        <w:lang w:val="nl-NL" w:eastAsia="en-US" w:bidi="ar-SA"/>
      </w:rPr>
    </w:lvl>
  </w:abstractNum>
  <w:abstractNum w:abstractNumId="0">
    <w:multiLevelType w:val="hybridMultilevel"/>
    <w:lvl w:ilvl="0">
      <w:start w:val="1"/>
      <w:numFmt w:val="upperLetter"/>
      <w:lvlText w:val="%1"/>
      <w:lvlJc w:val="left"/>
      <w:pPr>
        <w:ind w:left="1524" w:hanging="567"/>
        <w:jc w:val="left"/>
      </w:pPr>
      <w:rPr>
        <w:rFonts w:hint="default" w:ascii="Arial" w:hAnsi="Arial" w:eastAsia="Arial" w:cs="Arial"/>
        <w:b/>
        <w:bCs/>
        <w:spacing w:val="-3"/>
        <w:w w:val="100"/>
        <w:sz w:val="24"/>
        <w:szCs w:val="24"/>
        <w:lang w:val="nl-NL" w:eastAsia="en-US" w:bidi="ar-SA"/>
      </w:rPr>
    </w:lvl>
    <w:lvl w:ilvl="1">
      <w:start w:val="0"/>
      <w:numFmt w:val="bullet"/>
      <w:lvlText w:val="•"/>
      <w:lvlJc w:val="left"/>
      <w:pPr>
        <w:ind w:left="2312" w:hanging="567"/>
      </w:pPr>
      <w:rPr>
        <w:rFonts w:hint="default"/>
        <w:lang w:val="nl-NL" w:eastAsia="en-US" w:bidi="ar-SA"/>
      </w:rPr>
    </w:lvl>
    <w:lvl w:ilvl="2">
      <w:start w:val="0"/>
      <w:numFmt w:val="bullet"/>
      <w:lvlText w:val="•"/>
      <w:lvlJc w:val="left"/>
      <w:pPr>
        <w:ind w:left="3105" w:hanging="567"/>
      </w:pPr>
      <w:rPr>
        <w:rFonts w:hint="default"/>
        <w:lang w:val="nl-NL" w:eastAsia="en-US" w:bidi="ar-SA"/>
      </w:rPr>
    </w:lvl>
    <w:lvl w:ilvl="3">
      <w:start w:val="0"/>
      <w:numFmt w:val="bullet"/>
      <w:lvlText w:val="•"/>
      <w:lvlJc w:val="left"/>
      <w:pPr>
        <w:ind w:left="3897" w:hanging="567"/>
      </w:pPr>
      <w:rPr>
        <w:rFonts w:hint="default"/>
        <w:lang w:val="nl-NL" w:eastAsia="en-US" w:bidi="ar-SA"/>
      </w:rPr>
    </w:lvl>
    <w:lvl w:ilvl="4">
      <w:start w:val="0"/>
      <w:numFmt w:val="bullet"/>
      <w:lvlText w:val="•"/>
      <w:lvlJc w:val="left"/>
      <w:pPr>
        <w:ind w:left="4690" w:hanging="567"/>
      </w:pPr>
      <w:rPr>
        <w:rFonts w:hint="default"/>
        <w:lang w:val="nl-NL" w:eastAsia="en-US" w:bidi="ar-SA"/>
      </w:rPr>
    </w:lvl>
    <w:lvl w:ilvl="5">
      <w:start w:val="0"/>
      <w:numFmt w:val="bullet"/>
      <w:lvlText w:val="•"/>
      <w:lvlJc w:val="left"/>
      <w:pPr>
        <w:ind w:left="5483" w:hanging="567"/>
      </w:pPr>
      <w:rPr>
        <w:rFonts w:hint="default"/>
        <w:lang w:val="nl-NL" w:eastAsia="en-US" w:bidi="ar-SA"/>
      </w:rPr>
    </w:lvl>
    <w:lvl w:ilvl="6">
      <w:start w:val="0"/>
      <w:numFmt w:val="bullet"/>
      <w:lvlText w:val="•"/>
      <w:lvlJc w:val="left"/>
      <w:pPr>
        <w:ind w:left="6275" w:hanging="567"/>
      </w:pPr>
      <w:rPr>
        <w:rFonts w:hint="default"/>
        <w:lang w:val="nl-NL" w:eastAsia="en-US" w:bidi="ar-SA"/>
      </w:rPr>
    </w:lvl>
    <w:lvl w:ilvl="7">
      <w:start w:val="0"/>
      <w:numFmt w:val="bullet"/>
      <w:lvlText w:val="•"/>
      <w:lvlJc w:val="left"/>
      <w:pPr>
        <w:ind w:left="7068" w:hanging="567"/>
      </w:pPr>
      <w:rPr>
        <w:rFonts w:hint="default"/>
        <w:lang w:val="nl-NL" w:eastAsia="en-US" w:bidi="ar-SA"/>
      </w:rPr>
    </w:lvl>
    <w:lvl w:ilvl="8">
      <w:start w:val="0"/>
      <w:numFmt w:val="bullet"/>
      <w:lvlText w:val="•"/>
      <w:lvlJc w:val="left"/>
      <w:pPr>
        <w:ind w:left="7861" w:hanging="567"/>
      </w:pPr>
      <w:rPr>
        <w:rFonts w:hint="default"/>
        <w:lang w:val="nl-NL"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nl-NL" w:eastAsia="en-US" w:bidi="ar-SA"/>
    </w:rPr>
  </w:style>
  <w:style w:styleId="BodyText" w:type="paragraph">
    <w:name w:val="Body Text"/>
    <w:basedOn w:val="Normal"/>
    <w:uiPriority w:val="1"/>
    <w:qFormat/>
    <w:pPr>
      <w:ind w:left="957"/>
    </w:pPr>
    <w:rPr>
      <w:rFonts w:ascii="Arial" w:hAnsi="Arial" w:eastAsia="Arial" w:cs="Arial"/>
      <w:sz w:val="24"/>
      <w:szCs w:val="24"/>
      <w:lang w:val="nl-NL" w:eastAsia="en-US" w:bidi="ar-SA"/>
    </w:rPr>
  </w:style>
  <w:style w:styleId="Heading1" w:type="paragraph">
    <w:name w:val="Heading 1"/>
    <w:basedOn w:val="Normal"/>
    <w:uiPriority w:val="1"/>
    <w:qFormat/>
    <w:pPr>
      <w:ind w:left="957"/>
      <w:outlineLvl w:val="1"/>
    </w:pPr>
    <w:rPr>
      <w:rFonts w:ascii="Arial" w:hAnsi="Arial" w:eastAsia="Arial" w:cs="Arial"/>
      <w:b/>
      <w:bCs/>
      <w:sz w:val="24"/>
      <w:szCs w:val="24"/>
      <w:lang w:val="nl-NL" w:eastAsia="en-US" w:bidi="ar-SA"/>
    </w:rPr>
  </w:style>
  <w:style w:styleId="Title" w:type="paragraph">
    <w:name w:val="Title"/>
    <w:basedOn w:val="Normal"/>
    <w:uiPriority w:val="1"/>
    <w:qFormat/>
    <w:pPr>
      <w:spacing w:before="1"/>
      <w:ind w:right="155"/>
      <w:jc w:val="right"/>
    </w:pPr>
    <w:rPr>
      <w:rFonts w:ascii="Arial" w:hAnsi="Arial" w:eastAsia="Arial" w:cs="Arial"/>
      <w:b/>
      <w:bCs/>
      <w:sz w:val="72"/>
      <w:szCs w:val="72"/>
      <w:lang w:val="nl-NL" w:eastAsia="en-US" w:bidi="ar-SA"/>
    </w:rPr>
  </w:style>
  <w:style w:styleId="ListParagraph" w:type="paragraph">
    <w:name w:val="List Paragraph"/>
    <w:basedOn w:val="Normal"/>
    <w:uiPriority w:val="1"/>
    <w:qFormat/>
    <w:pPr>
      <w:ind w:left="1524" w:hanging="567"/>
    </w:pPr>
    <w:rPr>
      <w:rFonts w:ascii="Arial" w:hAnsi="Arial" w:eastAsia="Arial" w:cs="Arial"/>
      <w:lang w:val="nl-NL" w:eastAsia="en-US" w:bidi="ar-SA"/>
    </w:rPr>
  </w:style>
  <w:style w:styleId="TableParagraph" w:type="paragraph">
    <w:name w:val="Table Paragraph"/>
    <w:basedOn w:val="Normal"/>
    <w:uiPriority w:val="1"/>
    <w:qFormat/>
    <w:pPr>
      <w:spacing w:line="223" w:lineRule="exact"/>
      <w:ind w:left="4"/>
    </w:pPr>
    <w:rPr>
      <w:rFonts w:ascii="Trebuchet MS" w:hAnsi="Trebuchet MS" w:eastAsia="Trebuchet MS" w:cs="Trebuchet MS"/>
      <w:lang w:val="nl-NL"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footer" Target="footer2.xml"/><Relationship Id="rId15" Type="http://schemas.openxmlformats.org/officeDocument/2006/relationships/image" Target="media/image9.png"/><Relationship Id="rId16" Type="http://schemas.openxmlformats.org/officeDocument/2006/relationships/footer" Target="footer3.xml"/><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Huis</dc:creator>
  <dc:title>Microsoft Word - HF-1035-s-22-1-o NLT havo tv1 opgave 0511W</dc:title>
  <dcterms:created xsi:type="dcterms:W3CDTF">2023-09-19T14:28:50Z</dcterms:created>
  <dcterms:modified xsi:type="dcterms:W3CDTF">2023-09-19T14:28:50Z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2021-12-13T00:00:00Z</vt:filetime>
  </property>
  <property fmtid="{D5CDD505-2E9C-101B-9397-08002B2CF9AE}" pid="3" name="LastSaved">
    <vt:filetime>2023-09-19T00:00:00Z</vt:filetime>
  </property>
</Properties>
</file>