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06C" w:rsidRPr="007D12F1" w:rsidRDefault="008B306C" w:rsidP="008B306C">
      <w:pPr>
        <w:kinsoku w:val="0"/>
        <w:overflowPunct w:val="0"/>
        <w:textAlignment w:val="baseline"/>
        <w:rPr>
          <w:bCs/>
        </w:rPr>
      </w:pPr>
      <w:r w:rsidRPr="007D12F1">
        <w:rPr>
          <w:bCs/>
        </w:rPr>
        <w:t>EXAMEN SCHEIKUNDE VWO 197</w:t>
      </w:r>
      <w:r>
        <w:rPr>
          <w:bCs/>
        </w:rPr>
        <w:t xml:space="preserve">4, </w:t>
      </w:r>
      <w:r w:rsidRPr="007D12F1">
        <w:rPr>
          <w:bCs/>
        </w:rPr>
        <w:t>EERSTE TIJDVAK</w:t>
      </w:r>
      <w:r>
        <w:rPr>
          <w:bCs/>
        </w:rPr>
        <w:t>, opgaven</w:t>
      </w:r>
    </w:p>
    <w:bookmarkStart w:id="0" w:name="_Toc490827144"/>
    <w:p w:rsidR="008B306C" w:rsidRPr="00E430B3" w:rsidRDefault="008B306C" w:rsidP="008B306C">
      <w:pPr>
        <w:pStyle w:val="Kop2"/>
      </w:pPr>
      <w:r w:rsidRPr="003973F6">
        <w:rPr>
          <w:noProof/>
        </w:rPr>
        <mc:AlternateContent>
          <mc:Choice Requires="wps">
            <w:drawing>
              <wp:anchor distT="0" distB="0" distL="0" distR="0" simplePos="0" relativeHeight="251660288" behindDoc="0" locked="0" layoutInCell="0" allowOverlap="1" wp14:anchorId="2A9D5B0D" wp14:editId="71BABCEA">
                <wp:simplePos x="0" y="0"/>
                <wp:positionH relativeFrom="margin">
                  <wp:posOffset>-293427</wp:posOffset>
                </wp:positionH>
                <wp:positionV relativeFrom="paragraph">
                  <wp:posOffset>398306</wp:posOffset>
                </wp:positionV>
                <wp:extent cx="6172835" cy="0"/>
                <wp:effectExtent l="0" t="19050" r="56515" b="38100"/>
                <wp:wrapSquare wrapText="bothSides"/>
                <wp:docPr id="33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008DB" id="Line 2" o:spid="_x0000_s1026" style="position:absolute;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23.1pt,31.35pt" to="462.9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QFwIAACs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" o:allowincell="f" strokecolor="silver" strokeweight="4.8pt">
                <w10:wrap type="square" anchorx="margin"/>
              </v:line>
            </w:pict>
          </mc:Fallback>
        </mc:AlternateContent>
      </w:r>
      <w:r w:rsidRPr="003973F6">
        <w:t>Verzepingsgetal</w:t>
      </w:r>
      <w:r>
        <w:tab/>
        <w:t>1974-I(I)</w:t>
      </w:r>
      <w:bookmarkEnd w:id="0"/>
    </w:p>
    <w:p w:rsidR="008B306C" w:rsidRPr="00E430B3" w:rsidRDefault="008B306C" w:rsidP="008B306C">
      <w:r w:rsidRPr="00E430B3">
        <w:t xml:space="preserve">Bij het onderzoek naar, de samenstelling van dierlijke en plantaardige oliën en vetten is gebleken dat deze voornamelijk bestaan uit triglyceriden. Dit zijn esters </w:t>
      </w:r>
      <w:r>
        <w:t xml:space="preserve">van </w:t>
      </w:r>
      <w:r w:rsidRPr="00E430B3">
        <w:t>verzadigde en/of onverzadigde carbonzuren en propaan</w:t>
      </w:r>
      <w:r>
        <w:t>-</w:t>
      </w:r>
      <w:r w:rsidRPr="00E430B3">
        <w:t>1,2,3-triol (glycerol).</w:t>
      </w:r>
    </w:p>
    <w:p w:rsidR="008B306C" w:rsidRPr="00E430B3" w:rsidRDefault="008B306C" w:rsidP="008B306C">
      <w:r w:rsidRPr="00E430B3">
        <w:t>Een belangrijke eigenschap van oliën en vetten is het verzepingsgetal. Dit getal geeft aan hoeveel milligram kaliumhydroxide nodig is voor de verzeping van 1 gram olie of vet.</w:t>
      </w:r>
    </w:p>
    <w:p w:rsidR="008B306C" w:rsidRPr="00E430B3" w:rsidRDefault="008B306C" w:rsidP="008B306C">
      <w:r w:rsidRPr="00E430B3">
        <w:t>Het verzepingsgetal is</w:t>
      </w:r>
      <w:r>
        <w:t xml:space="preserve"> </w:t>
      </w:r>
      <w:r w:rsidRPr="00E430B3">
        <w:t>daarmede een maat voor de gemiddelde molecuulmassa van de triglyceriden.</w:t>
      </w:r>
    </w:p>
    <w:p w:rsidR="008B306C" w:rsidRPr="008B306C" w:rsidRDefault="008B306C" w:rsidP="008B306C">
      <w:pPr>
        <w:pStyle w:val="CSElijst"/>
        <w:numPr>
          <w:ilvl w:val="0"/>
          <w:numId w:val="7"/>
        </w:numPr>
        <w:ind w:left="0" w:hanging="567"/>
        <w:rPr>
          <w:lang w:val="nl-NL"/>
        </w:rPr>
      </w:pPr>
      <w:r w:rsidRPr="008B306C">
        <w:rPr>
          <w:lang w:val="nl-NL"/>
        </w:rPr>
        <w:t>Geef de reactievergelijking voor de verzeping van een triglyceride met behulp van structuurformules.</w:t>
      </w:r>
    </w:p>
    <w:p w:rsidR="008B306C" w:rsidRPr="00E430B3" w:rsidRDefault="008B306C" w:rsidP="008B306C">
      <w:r w:rsidRPr="00E430B3">
        <w:t>Palmolie heeft een groter verzepingsgetal dan olijfolie.</w:t>
      </w:r>
    </w:p>
    <w:p w:rsidR="008B306C" w:rsidRPr="00E430B3" w:rsidRDefault="008B306C" w:rsidP="008B306C">
      <w:pPr>
        <w:pStyle w:val="CSElijst"/>
        <w:numPr>
          <w:ilvl w:val="0"/>
          <w:numId w:val="7"/>
        </w:numPr>
        <w:ind w:left="0" w:hanging="567"/>
      </w:pPr>
      <w:r w:rsidRPr="008B306C">
        <w:rPr>
          <w:lang w:val="nl-NL"/>
        </w:rPr>
        <w:t xml:space="preserve">Beredeneer welke van deze oliën de grootste gemiddelde molecuulmassa heeft. </w:t>
      </w:r>
      <w:r w:rsidRPr="00E430B3">
        <w:t>Veronderstel hierbij dat beide oliën uitsluitend uit triglyceriden bestaan.</w:t>
      </w:r>
    </w:p>
    <w:p w:rsidR="008B306C" w:rsidRPr="00E430B3" w:rsidRDefault="008B306C" w:rsidP="008B306C">
      <w:r w:rsidRPr="00E430B3">
        <w:t>Bij de bepali</w:t>
      </w:r>
      <w:r>
        <w:t>n</w:t>
      </w:r>
      <w:r w:rsidRPr="00E430B3">
        <w:t xml:space="preserve">g van het verzepingsgetal </w:t>
      </w:r>
      <w:r w:rsidRPr="00E430B3">
        <w:rPr>
          <w:i/>
        </w:rPr>
        <w:t>Z</w:t>
      </w:r>
      <w:r w:rsidRPr="00E430B3">
        <w:t>, lost men een afgewogen hoeveelheid (</w:t>
      </w:r>
      <w:r w:rsidRPr="00BC31E2">
        <w:rPr>
          <w:i/>
        </w:rPr>
        <w:t>a</w:t>
      </w:r>
      <w:r w:rsidRPr="00E430B3">
        <w:t xml:space="preserve"> gram) olie of </w:t>
      </w:r>
      <w:r>
        <w:t>v</w:t>
      </w:r>
      <w:r w:rsidRPr="00E430B3">
        <w:t>et op in een geschikt oplosmiddel en verwarmt de oplossing met een bepaald vo</w:t>
      </w:r>
      <w:r>
        <w:t>lume</w:t>
      </w:r>
      <w:r w:rsidRPr="00E430B3">
        <w:t xml:space="preserve"> kaliloog tot de verzeping voltooid is. Na afkoelen titreert men de oplossing </w:t>
      </w:r>
      <w:r>
        <w:t>m</w:t>
      </w:r>
      <w:r w:rsidRPr="00E430B3">
        <w:t xml:space="preserve">et </w:t>
      </w:r>
      <w:r w:rsidRPr="00AF565F">
        <w:rPr>
          <w:i/>
        </w:rPr>
        <w:t>n</w:t>
      </w:r>
      <w:r w:rsidRPr="00E430B3">
        <w:t xml:space="preserve"> normaal (</w:t>
      </w:r>
      <w:r w:rsidRPr="00AF565F">
        <w:rPr>
          <w:i/>
        </w:rPr>
        <w:t>n</w:t>
      </w:r>
      <w:r w:rsidRPr="00E430B3">
        <w:t xml:space="preserve"> molair) zoutzuur,</w:t>
      </w:r>
      <w:r>
        <w:t xml:space="preserve"> </w:t>
      </w:r>
      <w:r w:rsidRPr="00E430B3">
        <w:t xml:space="preserve">waarvan </w:t>
      </w:r>
      <w:r w:rsidRPr="00E430B3">
        <w:rPr>
          <w:i/>
        </w:rPr>
        <w:t>V</w:t>
      </w:r>
      <w:r w:rsidRPr="00E430B3">
        <w:rPr>
          <w:vertAlign w:val="subscript"/>
        </w:rPr>
        <w:t>1</w:t>
      </w:r>
      <w:r>
        <w:t xml:space="preserve"> mL </w:t>
      </w:r>
      <w:r w:rsidRPr="00E430B3">
        <w:t>nodig is.</w:t>
      </w:r>
    </w:p>
    <w:p w:rsidR="008B306C" w:rsidRDefault="008B306C" w:rsidP="008B306C">
      <w:r w:rsidRPr="00E430B3">
        <w:t xml:space="preserve">In de praktijk wordt bovendien een </w:t>
      </w:r>
      <w:r>
        <w:t>‘</w:t>
      </w:r>
      <w:r w:rsidRPr="00E430B3">
        <w:t>blanco-bepaling</w:t>
      </w:r>
      <w:r>
        <w:t>’</w:t>
      </w:r>
      <w:r w:rsidRPr="00E430B3">
        <w:t xml:space="preserve"> uitgevoerd. Hierbij neemt men eenzelfde</w:t>
      </w:r>
      <w:r>
        <w:t xml:space="preserve"> </w:t>
      </w:r>
      <w:r w:rsidRPr="00E430B3">
        <w:t>hoeveelheid van het oplosmiddel, waaraan men geen olie of vet heeft toegevoegd, en verwarmt deze</w:t>
      </w:r>
      <w:r>
        <w:t xml:space="preserve"> </w:t>
      </w:r>
      <w:r w:rsidRPr="00E430B3">
        <w:t>met evenveel van de kaliloog als bij de verzeping werd toegevoe</w:t>
      </w:r>
      <w:r>
        <w:t>g</w:t>
      </w:r>
      <w:r w:rsidRPr="00E430B3">
        <w:t>d. Na afkoeling titreert men met</w:t>
      </w:r>
      <w:r>
        <w:t xml:space="preserve"> </w:t>
      </w:r>
      <w:r w:rsidRPr="00AF565F">
        <w:rPr>
          <w:i/>
        </w:rPr>
        <w:t>n</w:t>
      </w:r>
      <w:r w:rsidRPr="00E430B3">
        <w:t xml:space="preserve"> normaal (</w:t>
      </w:r>
      <w:r w:rsidRPr="00AF565F">
        <w:rPr>
          <w:i/>
        </w:rPr>
        <w:t>n</w:t>
      </w:r>
      <w:r w:rsidRPr="00E430B3">
        <w:t xml:space="preserve"> molair) zoutzuur, waarvan nu </w:t>
      </w:r>
      <w:r w:rsidRPr="00AF565F">
        <w:rPr>
          <w:i/>
        </w:rPr>
        <w:t>V</w:t>
      </w:r>
      <w:r w:rsidRPr="00AF565F">
        <w:rPr>
          <w:vertAlign w:val="subscript"/>
        </w:rPr>
        <w:t>2</w:t>
      </w:r>
      <w:r>
        <w:t xml:space="preserve"> mL </w:t>
      </w:r>
      <w:r w:rsidRPr="00E430B3">
        <w:t>nodig is.</w:t>
      </w:r>
    </w:p>
    <w:p w:rsidR="008B306C" w:rsidRDefault="008B306C" w:rsidP="008B306C">
      <w:r w:rsidRPr="00E430B3">
        <w:t>Het verzepingsgetal Z kan uit de volgende formule worden berekend:</w:t>
      </w:r>
      <w:r>
        <w:t xml:space="preserve"> </w:t>
      </w:r>
      <m:oMath>
        <m:r>
          <w:rPr>
            <w:rFonts w:ascii="Cambria Math" w:hAnsi="Cambria Math"/>
          </w:rPr>
          <m:t>Z=</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e>
            </m:d>
            <m:r>
              <w:rPr>
                <w:rFonts w:ascii="Cambria Math" w:hAnsi="Cambria Math"/>
              </w:rPr>
              <m:t>∙n∙M</m:t>
            </m:r>
          </m:num>
          <m:den>
            <m:r>
              <w:rPr>
                <w:rFonts w:ascii="Cambria Math" w:hAnsi="Cambria Math"/>
              </w:rPr>
              <m:t>a</m:t>
            </m:r>
          </m:den>
        </m:f>
      </m:oMath>
      <w:r>
        <w:rPr>
          <w:rFonts w:eastAsiaTheme="minorEastAsia"/>
        </w:rPr>
        <w:t>,</w:t>
      </w:r>
      <w:r>
        <w:rPr>
          <w:rFonts w:eastAsiaTheme="minorEastAsia"/>
        </w:rPr>
        <w:br/>
      </w:r>
      <w:r>
        <w:rPr>
          <w:sz w:val="21"/>
          <w:szCs w:val="21"/>
        </w:rPr>
        <w:t xml:space="preserve">waarin </w:t>
      </w:r>
      <w:r w:rsidRPr="00B92CA4">
        <w:rPr>
          <w:i/>
          <w:sz w:val="21"/>
          <w:szCs w:val="21"/>
        </w:rPr>
        <w:t>M</w:t>
      </w:r>
      <w:r>
        <w:rPr>
          <w:sz w:val="21"/>
          <w:szCs w:val="21"/>
        </w:rPr>
        <w:t xml:space="preserve"> de molecuulmassa van KOH is.</w:t>
      </w:r>
    </w:p>
    <w:p w:rsidR="008B306C" w:rsidRPr="008B306C" w:rsidRDefault="008B306C" w:rsidP="008B306C">
      <w:pPr>
        <w:pStyle w:val="CSElijst"/>
        <w:numPr>
          <w:ilvl w:val="0"/>
          <w:numId w:val="7"/>
        </w:numPr>
        <w:ind w:left="0" w:hanging="567"/>
        <w:rPr>
          <w:lang w:val="nl-NL"/>
        </w:rPr>
      </w:pPr>
      <w:r w:rsidRPr="008B306C">
        <w:rPr>
          <w:lang w:val="nl-NL"/>
        </w:rPr>
        <w:t xml:space="preserve">Leg uit dat </w:t>
      </w:r>
      <w:r w:rsidRPr="008B306C">
        <w:rPr>
          <w:i/>
          <w:lang w:val="nl-NL"/>
        </w:rPr>
        <w:t>V</w:t>
      </w:r>
      <w:r w:rsidRPr="008B306C">
        <w:rPr>
          <w:vertAlign w:val="subscript"/>
          <w:lang w:val="nl-NL"/>
        </w:rPr>
        <w:t>2</w:t>
      </w:r>
      <w:r w:rsidRPr="008B306C">
        <w:rPr>
          <w:lang w:val="nl-NL"/>
        </w:rPr>
        <w:t xml:space="preserve"> groter moet zijn dan </w:t>
      </w:r>
      <w:r w:rsidRPr="008B306C">
        <w:rPr>
          <w:i/>
          <w:lang w:val="nl-NL"/>
        </w:rPr>
        <w:t>V</w:t>
      </w:r>
      <w:r w:rsidRPr="008B306C">
        <w:rPr>
          <w:vertAlign w:val="subscript"/>
          <w:lang w:val="nl-NL"/>
        </w:rPr>
        <w:t>1</w:t>
      </w:r>
      <w:r w:rsidRPr="008B306C">
        <w:rPr>
          <w:lang w:val="nl-NL"/>
        </w:rPr>
        <w:t>.</w:t>
      </w:r>
    </w:p>
    <w:p w:rsidR="008B306C" w:rsidRPr="008B306C" w:rsidRDefault="008B306C" w:rsidP="008B306C">
      <w:pPr>
        <w:pStyle w:val="CSElijst"/>
        <w:numPr>
          <w:ilvl w:val="0"/>
          <w:numId w:val="7"/>
        </w:numPr>
        <w:ind w:left="0" w:hanging="567"/>
        <w:rPr>
          <w:lang w:val="nl-NL"/>
        </w:rPr>
      </w:pPr>
      <w:r w:rsidRPr="008B306C">
        <w:rPr>
          <w:lang w:val="nl-NL"/>
        </w:rPr>
        <w:t xml:space="preserve">Beredeneer dat de uit de formule berekende </w:t>
      </w:r>
      <w:r w:rsidRPr="008B306C">
        <w:rPr>
          <w:i/>
          <w:lang w:val="nl-NL"/>
        </w:rPr>
        <w:t>Z</w:t>
      </w:r>
      <w:r w:rsidRPr="008B306C">
        <w:rPr>
          <w:lang w:val="nl-NL"/>
        </w:rPr>
        <w:t xml:space="preserve"> het verzepingsgetal volgens de definitie is.</w:t>
      </w:r>
    </w:p>
    <w:p w:rsidR="008B306C" w:rsidRPr="00E430B3" w:rsidRDefault="008B306C" w:rsidP="008B306C">
      <w:r w:rsidRPr="00E430B3">
        <w:t>Bij</w:t>
      </w:r>
      <w:r>
        <w:t xml:space="preserve"> </w:t>
      </w:r>
      <w:r w:rsidRPr="00E430B3">
        <w:t>de titraties maakt men gebruik van fenolftale</w:t>
      </w:r>
      <w:r>
        <w:t>ï</w:t>
      </w:r>
      <w:r w:rsidRPr="00E430B3">
        <w:t>en als indicator.</w:t>
      </w:r>
    </w:p>
    <w:p w:rsidR="008B306C" w:rsidRPr="00E430B3" w:rsidRDefault="008B306C" w:rsidP="008B306C">
      <w:r w:rsidRPr="00E430B3">
        <w:t>Als men methylrood als indicator gebruikt, vindt men een veel grotere w</w:t>
      </w:r>
      <w:r>
        <w:t>aard</w:t>
      </w:r>
      <w:r w:rsidRPr="00E430B3">
        <w:t xml:space="preserve">e voor </w:t>
      </w:r>
      <w:r w:rsidRPr="00AF565F">
        <w:rPr>
          <w:i/>
        </w:rPr>
        <w:t>V</w:t>
      </w:r>
      <w:r w:rsidRPr="00AF565F">
        <w:rPr>
          <w:vertAlign w:val="subscript"/>
        </w:rPr>
        <w:t>1</w:t>
      </w:r>
      <w:r w:rsidRPr="00E430B3">
        <w:t>.</w:t>
      </w:r>
    </w:p>
    <w:p w:rsidR="008B306C" w:rsidRPr="008B306C" w:rsidRDefault="008B306C" w:rsidP="008B306C">
      <w:pPr>
        <w:pStyle w:val="CSElijst"/>
        <w:numPr>
          <w:ilvl w:val="0"/>
          <w:numId w:val="7"/>
        </w:numPr>
        <w:ind w:left="0" w:hanging="567"/>
        <w:rPr>
          <w:lang w:val="nl-NL"/>
        </w:rPr>
      </w:pPr>
      <w:r w:rsidRPr="008B306C">
        <w:rPr>
          <w:lang w:val="nl-NL"/>
        </w:rPr>
        <w:t xml:space="preserve">Welke oorzaak kun je aangeven voor het feit dat </w:t>
      </w:r>
      <w:r w:rsidRPr="008B306C">
        <w:rPr>
          <w:i/>
          <w:lang w:val="nl-NL"/>
        </w:rPr>
        <w:t>V</w:t>
      </w:r>
      <w:r w:rsidRPr="008B306C">
        <w:rPr>
          <w:vertAlign w:val="subscript"/>
          <w:lang w:val="nl-NL"/>
        </w:rPr>
        <w:t>1</w:t>
      </w:r>
      <w:r w:rsidRPr="008B306C">
        <w:rPr>
          <w:lang w:val="nl-NL"/>
        </w:rPr>
        <w:t xml:space="preserve"> bij gebruik van methylrood veel groter is?</w:t>
      </w:r>
    </w:p>
    <w:p w:rsidR="008B306C" w:rsidRPr="008B306C" w:rsidRDefault="008B306C" w:rsidP="008B306C">
      <w:pPr>
        <w:pStyle w:val="CSElijst"/>
        <w:numPr>
          <w:ilvl w:val="0"/>
          <w:numId w:val="7"/>
        </w:numPr>
        <w:ind w:left="0" w:hanging="567"/>
        <w:rPr>
          <w:lang w:val="nl-NL"/>
        </w:rPr>
      </w:pPr>
      <w:r w:rsidRPr="008B306C">
        <w:rPr>
          <w:lang w:val="nl-NL"/>
        </w:rPr>
        <w:t xml:space="preserve">Beredeneer of bij gebruik van methylrood in plaats van fenolftaleïen als indicator een grotere, kleinere of dezelfde waarde voor </w:t>
      </w:r>
      <w:r w:rsidRPr="008B306C">
        <w:rPr>
          <w:i/>
          <w:lang w:val="nl-NL"/>
        </w:rPr>
        <w:t>Z</w:t>
      </w:r>
      <w:r w:rsidRPr="008B306C">
        <w:rPr>
          <w:lang w:val="nl-NL"/>
        </w:rPr>
        <w:t xml:space="preserve"> gevonden wordt.</w:t>
      </w:r>
    </w:p>
    <w:bookmarkStart w:id="1" w:name="_Toc490827145"/>
    <w:p w:rsidR="008B306C" w:rsidRPr="00E430B3" w:rsidRDefault="008B306C" w:rsidP="008B306C">
      <w:pPr>
        <w:pStyle w:val="Kop2"/>
      </w:pPr>
      <w:r w:rsidRPr="0018005E">
        <w:rPr>
          <w:noProof/>
        </w:rPr>
        <mc:AlternateContent>
          <mc:Choice Requires="wps">
            <w:drawing>
              <wp:anchor distT="0" distB="0" distL="0" distR="0" simplePos="0" relativeHeight="251661312" behindDoc="0" locked="0" layoutInCell="0" allowOverlap="1" wp14:anchorId="23EE60E2" wp14:editId="0B078BF5">
                <wp:simplePos x="0" y="0"/>
                <wp:positionH relativeFrom="margin">
                  <wp:posOffset>-320722</wp:posOffset>
                </wp:positionH>
                <wp:positionV relativeFrom="paragraph">
                  <wp:posOffset>335280</wp:posOffset>
                </wp:positionV>
                <wp:extent cx="6172835" cy="0"/>
                <wp:effectExtent l="0" t="19050" r="56515" b="38100"/>
                <wp:wrapSquare wrapText="bothSides"/>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0ABC5" id="Line 2" o:spid="_x0000_s1026" style="position:absolute;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25.25pt,26.4pt" to="460.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GFAIAACk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" o:allowincell="f" strokecolor="silver" strokeweight="4.8pt">
                <w10:wrap type="square" anchorx="margin"/>
              </v:line>
            </w:pict>
          </mc:Fallback>
        </mc:AlternateContent>
      </w:r>
      <w:r>
        <w:t>Elektrochemisch element</w:t>
      </w:r>
      <w:r>
        <w:tab/>
        <w:t>1974-I(II)</w:t>
      </w:r>
      <w:bookmarkEnd w:id="1"/>
    </w:p>
    <w:p w:rsidR="008B306C" w:rsidRDefault="008B306C" w:rsidP="008B306C">
      <w:r w:rsidRPr="00E430B3">
        <w:t>Als men waterstofsul</w:t>
      </w:r>
      <w:r>
        <w:t>fid</w:t>
      </w:r>
      <w:r w:rsidRPr="00E430B3">
        <w:t>e leid</w:t>
      </w:r>
      <w:r>
        <w:t xml:space="preserve">t in een waterige oplossing van </w:t>
      </w:r>
      <w:r w:rsidRPr="00E430B3">
        <w:t>ijzer(</w:t>
      </w:r>
      <w:r>
        <w:t>II</w:t>
      </w:r>
      <w:r w:rsidRPr="00E430B3">
        <w:t>)chloride ontstaat zwavel.</w:t>
      </w:r>
    </w:p>
    <w:p w:rsidR="008B306C" w:rsidRPr="00E430B3" w:rsidRDefault="008B306C" w:rsidP="008B306C">
      <w:pPr>
        <w:pStyle w:val="CSElijst"/>
        <w:numPr>
          <w:ilvl w:val="0"/>
          <w:numId w:val="7"/>
        </w:numPr>
        <w:ind w:left="0" w:hanging="567"/>
      </w:pPr>
      <w:r w:rsidRPr="00E430B3">
        <w:t>Geef de reactievergelijking.</w:t>
      </w:r>
    </w:p>
    <w:p w:rsidR="008B306C" w:rsidRPr="00E430B3" w:rsidRDefault="008B306C" w:rsidP="008B306C">
      <w:r w:rsidRPr="00E430B3">
        <w:t>Men kan een elektrochemisch element als volgt samenstellen:</w:t>
      </w:r>
    </w:p>
    <w:p w:rsidR="008B306C" w:rsidRPr="00E430B3" w:rsidRDefault="008B306C" w:rsidP="008B306C">
      <w:r w:rsidRPr="00E430B3">
        <w:t>in een bekerglas A, gevuld met ijzer(III)chloride-oplossing, plaatst men een koolstofelektrode. In een bekerglas B, gevuld met ge</w:t>
      </w:r>
      <w:r>
        <w:t>d</w:t>
      </w:r>
      <w:r w:rsidRPr="00E430B3">
        <w:t>estilleerd</w:t>
      </w:r>
      <w:r>
        <w:t xml:space="preserve"> </w:t>
      </w:r>
      <w:r w:rsidRPr="00E430B3">
        <w:t>water,</w:t>
      </w:r>
      <w:r>
        <w:t xml:space="preserve"> </w:t>
      </w:r>
      <w:r w:rsidRPr="00E430B3">
        <w:t>plaatst men ook een koolstofelektrode. Van een zoutbrug plaatst men het ene been in de vloeistof van bekerglas A, het andere in</w:t>
      </w:r>
      <w:r>
        <w:t xml:space="preserve"> </w:t>
      </w:r>
      <w:r w:rsidRPr="00E430B3">
        <w:t>de vloeistof van bekerglas B. Deze zoutbrug is gemaakt do</w:t>
      </w:r>
      <w:r>
        <w:t>o</w:t>
      </w:r>
      <w:r w:rsidRPr="00E430B3">
        <w:t>r een U-vormige buis te vullen met een warme verzadigde kaliumchlorideoplossing, waaraan</w:t>
      </w:r>
      <w:r>
        <w:t xml:space="preserve"> </w:t>
      </w:r>
      <w:bookmarkStart w:id="2" w:name="_GoBack"/>
      <w:bookmarkEnd w:id="2"/>
      <w:r w:rsidRPr="00E430B3">
        <w:t>gelatine is toegevoegd; bij afkoeling heeft zich een gelei gevormd. Men leidt in het gedestilleerde water een regelmatige stroom waterstofsulfide. De beide koolstofelektroden worden via een gevoelige voltmeter verbonden; deze wijst een potentiaalverschil aan.</w:t>
      </w:r>
    </w:p>
    <w:p w:rsidR="008B306C" w:rsidRPr="008B306C" w:rsidRDefault="008B306C" w:rsidP="008B306C">
      <w:pPr>
        <w:pStyle w:val="CSElijst"/>
        <w:numPr>
          <w:ilvl w:val="0"/>
          <w:numId w:val="7"/>
        </w:numPr>
        <w:ind w:left="0" w:hanging="567"/>
        <w:rPr>
          <w:lang w:val="nl-NL"/>
        </w:rPr>
      </w:pPr>
      <w:r w:rsidRPr="008B306C">
        <w:rPr>
          <w:lang w:val="nl-NL"/>
        </w:rPr>
        <w:t>Maak een schematische tekening van dit elektrochemische element.</w:t>
      </w:r>
    </w:p>
    <w:p w:rsidR="008B306C" w:rsidRPr="00E430B3" w:rsidRDefault="008B306C" w:rsidP="008B306C">
      <w:pPr>
        <w:pStyle w:val="CSElijst"/>
        <w:numPr>
          <w:ilvl w:val="0"/>
          <w:numId w:val="7"/>
        </w:numPr>
        <w:ind w:left="0" w:hanging="567"/>
      </w:pPr>
      <w:r w:rsidRPr="00E430B3">
        <w:t>Waartoe dient de zoutbrug?</w:t>
      </w:r>
    </w:p>
    <w:p w:rsidR="008B306C" w:rsidRPr="008B306C" w:rsidRDefault="008B306C" w:rsidP="008B306C">
      <w:pPr>
        <w:pStyle w:val="CSElijst"/>
        <w:numPr>
          <w:ilvl w:val="0"/>
          <w:numId w:val="7"/>
        </w:numPr>
        <w:ind w:left="0" w:hanging="567"/>
        <w:rPr>
          <w:lang w:val="nl-NL"/>
        </w:rPr>
      </w:pPr>
      <w:r w:rsidRPr="008B306C">
        <w:rPr>
          <w:lang w:val="nl-NL"/>
        </w:rPr>
        <w:t>Verklaar het optreden van een potentiaalverschil tussen de elektroden.</w:t>
      </w:r>
    </w:p>
    <w:p w:rsidR="008B306C" w:rsidRPr="008B306C" w:rsidRDefault="008B306C" w:rsidP="008B306C">
      <w:pPr>
        <w:pStyle w:val="CSElijst"/>
        <w:numPr>
          <w:ilvl w:val="0"/>
          <w:numId w:val="7"/>
        </w:numPr>
        <w:ind w:left="0" w:hanging="567"/>
        <w:rPr>
          <w:lang w:val="nl-NL"/>
        </w:rPr>
      </w:pPr>
      <w:r w:rsidRPr="008B306C">
        <w:rPr>
          <w:lang w:val="nl-NL"/>
        </w:rPr>
        <w:t>Beredeneer wat in dit element de positieve elektrode is.</w:t>
      </w:r>
    </w:p>
    <w:p w:rsidR="008B306C" w:rsidRPr="00E430B3" w:rsidRDefault="008B306C" w:rsidP="008B306C">
      <w:r w:rsidRPr="00E430B3">
        <w:lastRenderedPageBreak/>
        <w:t>Als men in het beschreven elektrochemische element enkele druppels natronloog toevoegt aan de oplossing in het bekerglas B, slaat de voltmeter verder uit.</w:t>
      </w:r>
    </w:p>
    <w:p w:rsidR="008B306C" w:rsidRPr="00E430B3" w:rsidRDefault="008B306C" w:rsidP="008B306C">
      <w:pPr>
        <w:pStyle w:val="CSElijst"/>
        <w:numPr>
          <w:ilvl w:val="0"/>
          <w:numId w:val="7"/>
        </w:numPr>
        <w:ind w:left="0" w:hanging="567"/>
      </w:pPr>
      <w:r w:rsidRPr="00E430B3">
        <w:t>Geef hiervoor een verklaring.</w:t>
      </w:r>
    </w:p>
    <w:bookmarkStart w:id="3" w:name="_Toc490827146"/>
    <w:p w:rsidR="008B306C" w:rsidRPr="00E430B3" w:rsidRDefault="008B306C" w:rsidP="008B306C">
      <w:pPr>
        <w:pStyle w:val="Kop2"/>
      </w:pPr>
      <w:r w:rsidRPr="0018005E">
        <w:rPr>
          <w:noProof/>
        </w:rPr>
        <mc:AlternateContent>
          <mc:Choice Requires="wps">
            <w:drawing>
              <wp:anchor distT="0" distB="0" distL="0" distR="0" simplePos="0" relativeHeight="251662336" behindDoc="0" locked="0" layoutInCell="0" allowOverlap="1" wp14:anchorId="3B90DEEA" wp14:editId="3FC49797">
                <wp:simplePos x="0" y="0"/>
                <wp:positionH relativeFrom="margin">
                  <wp:posOffset>-334370</wp:posOffset>
                </wp:positionH>
                <wp:positionV relativeFrom="paragraph">
                  <wp:posOffset>316865</wp:posOffset>
                </wp:positionV>
                <wp:extent cx="6172835" cy="0"/>
                <wp:effectExtent l="0" t="19050" r="56515" b="38100"/>
                <wp:wrapSquare wrapText="bothSides"/>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59022" id="Line 2" o:spid="_x0000_s1026" style="position:absolute;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26.35pt,24.95pt" to="459.7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iC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" o:allowincell="f" strokecolor="silver" strokeweight="4.8pt">
                <w10:wrap type="square" anchorx="margin"/>
              </v:line>
            </w:pict>
          </mc:Fallback>
        </mc:AlternateContent>
      </w:r>
      <w:r>
        <w:t>Snelheid en moleculariteit</w:t>
      </w:r>
      <w:r>
        <w:tab/>
        <w:t>1974-I(III)</w:t>
      </w:r>
      <w:bookmarkEnd w:id="3"/>
    </w:p>
    <w:p w:rsidR="008B306C" w:rsidRPr="00E430B3" w:rsidRDefault="008B306C" w:rsidP="008B306C">
      <w:r w:rsidRPr="00E430B3">
        <w:t>Onder de snelheid van de reactie A(g) + 2 B(g)</w:t>
      </w:r>
      <w:r>
        <w:t xml:space="preserve"> </w:t>
      </w:r>
      <w:r>
        <w:sym w:font="Symbol" w:char="F0AE"/>
      </w:r>
      <w:r>
        <w:t xml:space="preserve"> </w:t>
      </w:r>
      <w:r w:rsidRPr="00E430B3">
        <w:t>2 C(g)</w:t>
      </w:r>
      <w:r>
        <w:rPr>
          <w:rStyle w:val="Voetnootmarkering"/>
        </w:rPr>
        <w:footnoteReference w:id="1"/>
      </w:r>
      <w:r w:rsidRPr="00E430B3">
        <w:t xml:space="preserve"> kan men verstaan het aantal mol A dat per seconde en per liter reagerend gasmengsel wordt omgezet. De reactiesnelheid is o.a. afhankelijk van de concentraties van de reagerende stoffen.</w:t>
      </w:r>
    </w:p>
    <w:p w:rsidR="008B306C" w:rsidRPr="00E430B3" w:rsidRDefault="008B306C" w:rsidP="008B306C">
      <w:r w:rsidRPr="00E430B3">
        <w:t xml:space="preserve">Lange tijd heeft men het verband tussen de reactiesnelheid </w:t>
      </w:r>
      <w:r w:rsidRPr="00AF565F">
        <w:rPr>
          <w:i/>
        </w:rPr>
        <w:t>s</w:t>
      </w:r>
      <w:r w:rsidRPr="00E430B3">
        <w:t xml:space="preserve"> en de concentraties van A en B aan</w:t>
      </w:r>
      <w:r w:rsidRPr="00E430B3">
        <w:softHyphen/>
        <w:t>gegeven door de volgende vergelijking:</w:t>
      </w:r>
    </w:p>
    <w:p w:rsidR="008B306C" w:rsidRPr="00E430B3" w:rsidRDefault="008B306C" w:rsidP="008B306C">
      <w:pPr>
        <w:pStyle w:val="Vergelijking"/>
      </w:pPr>
      <w:r w:rsidRPr="0080133D">
        <w:rPr>
          <w:i/>
        </w:rPr>
        <w:t>s</w:t>
      </w:r>
      <w:r>
        <w:t xml:space="preserve"> </w:t>
      </w:r>
      <w:r w:rsidRPr="00E430B3">
        <w:t xml:space="preserve">= </w:t>
      </w:r>
      <w:r w:rsidRPr="0080133D">
        <w:rPr>
          <w:i/>
        </w:rPr>
        <w:t>k</w:t>
      </w:r>
      <w:r>
        <w:sym w:font="Symbol" w:char="F0D7"/>
      </w:r>
      <w:r w:rsidRPr="00E430B3">
        <w:t>[A]</w:t>
      </w:r>
      <w:r>
        <w:sym w:font="Symbol" w:char="F0D7"/>
      </w:r>
      <w:r w:rsidRPr="00E430B3">
        <w:t>[B]</w:t>
      </w:r>
      <w:r w:rsidRPr="0080133D">
        <w:rPr>
          <w:vertAlign w:val="superscript"/>
        </w:rPr>
        <w:t>2</w:t>
      </w:r>
      <w:r w:rsidRPr="00E430B3">
        <w:tab/>
        <w:t>(I)</w:t>
      </w:r>
    </w:p>
    <w:p w:rsidR="008B306C" w:rsidRPr="00E430B3" w:rsidRDefault="008B306C" w:rsidP="008B306C">
      <w:r w:rsidRPr="00E430B3">
        <w:t xml:space="preserve">waarin </w:t>
      </w:r>
      <w:r w:rsidRPr="0080133D">
        <w:rPr>
          <w:i/>
        </w:rPr>
        <w:t>k</w:t>
      </w:r>
      <w:r w:rsidRPr="00E430B3">
        <w:t xml:space="preserve"> een evenredigheidsconstante (de z.g. reactieconstante) is.</w:t>
      </w:r>
    </w:p>
    <w:p w:rsidR="008B306C" w:rsidRPr="00E430B3" w:rsidRDefault="008B306C" w:rsidP="008B306C">
      <w:r w:rsidRPr="00E430B3">
        <w:t>De vergelijking is bruikbaar als de react</w:t>
      </w:r>
      <w:r>
        <w:t>i</w:t>
      </w:r>
      <w:r w:rsidRPr="00E430B3">
        <w:t>e in één stap verloopt, d.w.z. dat twee moleculen C kunnen</w:t>
      </w:r>
      <w:r>
        <w:t xml:space="preserve"> </w:t>
      </w:r>
      <w:r w:rsidRPr="00E430B3">
        <w:t>ontstaan wanneer één molecuul A en twee moleculen B tegelijkertijd botsen.</w:t>
      </w:r>
    </w:p>
    <w:p w:rsidR="008B306C" w:rsidRPr="00E430B3" w:rsidRDefault="008B306C" w:rsidP="008B306C">
      <w:r w:rsidRPr="00E430B3">
        <w:t xml:space="preserve">Als men een ander verband vindt tussen </w:t>
      </w:r>
      <w:r w:rsidRPr="0080133D">
        <w:rPr>
          <w:i/>
        </w:rPr>
        <w:t>s</w:t>
      </w:r>
      <w:r w:rsidRPr="00E430B3">
        <w:t>, [A] en [B], neemt men aan dat de reactie in twee of</w:t>
      </w:r>
      <w:r>
        <w:t xml:space="preserve"> </w:t>
      </w:r>
      <w:r w:rsidRPr="00E430B3">
        <w:t>meer stappen verloopt.</w:t>
      </w:r>
    </w:p>
    <w:p w:rsidR="008B306C" w:rsidRPr="008B306C" w:rsidRDefault="008B306C" w:rsidP="008B306C">
      <w:pPr>
        <w:pStyle w:val="CSElijst"/>
        <w:numPr>
          <w:ilvl w:val="0"/>
          <w:numId w:val="7"/>
        </w:numPr>
        <w:ind w:left="0" w:hanging="567"/>
        <w:rPr>
          <w:lang w:val="nl-NL"/>
        </w:rPr>
      </w:pPr>
      <w:r w:rsidRPr="008B306C">
        <w:rPr>
          <w:lang w:val="nl-NL"/>
        </w:rPr>
        <w:t>Welke invloed heeft volgens vergelijking (I) verdubbeling van de concentratie van A, onder overigens gelijkblijvende omstandigheden, op de snelheid van de reactie?</w:t>
      </w:r>
    </w:p>
    <w:p w:rsidR="008B306C" w:rsidRPr="008B306C" w:rsidRDefault="008B306C" w:rsidP="008B306C">
      <w:pPr>
        <w:pStyle w:val="CSElijst"/>
        <w:numPr>
          <w:ilvl w:val="0"/>
          <w:numId w:val="7"/>
        </w:numPr>
        <w:ind w:left="0" w:hanging="567"/>
        <w:rPr>
          <w:lang w:val="nl-NL"/>
        </w:rPr>
      </w:pPr>
      <w:r w:rsidRPr="008B306C">
        <w:rPr>
          <w:lang w:val="nl-NL"/>
        </w:rPr>
        <w:t>Welke invloed heeft volgens vergelijking (I) verdubbeling van de concentratie van B, eveneens onder overigens gelijkblijvende omstandigheden, op de snelheid van de reactie?</w:t>
      </w:r>
    </w:p>
    <w:p w:rsidR="008B306C" w:rsidRPr="00E430B3" w:rsidRDefault="008B306C" w:rsidP="008B306C">
      <w:r w:rsidRPr="00E430B3">
        <w:t>Bij een onderzoek naar de snelheid van de reactie</w:t>
      </w:r>
    </w:p>
    <w:p w:rsidR="008B306C" w:rsidRPr="0080133D" w:rsidRDefault="008B306C" w:rsidP="008B306C">
      <w:pPr>
        <w:pStyle w:val="Vergelijking"/>
        <w:rPr>
          <w:lang w:val="en-US"/>
        </w:rPr>
      </w:pPr>
      <w:r w:rsidRPr="0080133D">
        <w:rPr>
          <w:lang w:val="en-US"/>
        </w:rPr>
        <w:t>F</w:t>
      </w:r>
      <w:r w:rsidRPr="0080133D">
        <w:rPr>
          <w:vertAlign w:val="subscript"/>
          <w:lang w:val="en-US"/>
        </w:rPr>
        <w:t>2</w:t>
      </w:r>
      <w:r w:rsidRPr="0080133D">
        <w:rPr>
          <w:lang w:val="en-US"/>
        </w:rPr>
        <w:t>(g) + 2 ClO</w:t>
      </w:r>
      <w:r w:rsidRPr="0080133D">
        <w:rPr>
          <w:vertAlign w:val="subscript"/>
          <w:lang w:val="en-US"/>
        </w:rPr>
        <w:t>2</w:t>
      </w:r>
      <w:r w:rsidRPr="0080133D">
        <w:rPr>
          <w:lang w:val="en-US"/>
        </w:rPr>
        <w:t xml:space="preserve">(g) </w:t>
      </w:r>
      <w:r>
        <w:rPr>
          <w:lang w:val="it-IT"/>
        </w:rPr>
        <w:sym w:font="Symbol" w:char="F0AE"/>
      </w:r>
      <w:r w:rsidRPr="0080133D">
        <w:rPr>
          <w:lang w:val="en-US"/>
        </w:rPr>
        <w:t xml:space="preserve"> 2 ClO</w:t>
      </w:r>
      <w:r w:rsidRPr="0080133D">
        <w:rPr>
          <w:vertAlign w:val="subscript"/>
          <w:lang w:val="en-US"/>
        </w:rPr>
        <w:t>2</w:t>
      </w:r>
      <w:r w:rsidRPr="0080133D">
        <w:rPr>
          <w:lang w:val="en-US"/>
        </w:rPr>
        <w:t>F(g)</w:t>
      </w:r>
    </w:p>
    <w:p w:rsidR="008B306C" w:rsidRPr="00E430B3" w:rsidRDefault="008B306C" w:rsidP="008B306C">
      <w:pPr>
        <w:spacing w:after="120"/>
      </w:pPr>
      <w:r w:rsidRPr="00E430B3">
        <w:t>onder bepaalde omstandigheden, zijn de volgende resultaten gevonden:</w:t>
      </w:r>
    </w:p>
    <w:tbl>
      <w:tblPr>
        <w:tblW w:w="0" w:type="auto"/>
        <w:tblCellMar>
          <w:left w:w="0" w:type="dxa"/>
          <w:right w:w="0" w:type="dxa"/>
        </w:tblCellMar>
        <w:tblLook w:val="0000" w:firstRow="0" w:lastRow="0" w:firstColumn="0" w:lastColumn="0" w:noHBand="0" w:noVBand="0"/>
      </w:tblPr>
      <w:tblGrid>
        <w:gridCol w:w="993"/>
        <w:gridCol w:w="1275"/>
        <w:gridCol w:w="2127"/>
      </w:tblGrid>
      <w:tr w:rsidR="008B306C" w:rsidRPr="00375183" w:rsidTr="001D4EA2">
        <w:tc>
          <w:tcPr>
            <w:tcW w:w="993" w:type="dxa"/>
            <w:tcBorders>
              <w:top w:val="nil"/>
              <w:left w:val="nil"/>
              <w:bottom w:val="nil"/>
              <w:right w:val="nil"/>
            </w:tcBorders>
            <w:tcMar>
              <w:top w:w="28" w:type="dxa"/>
              <w:left w:w="85" w:type="dxa"/>
              <w:bottom w:w="28" w:type="dxa"/>
              <w:right w:w="85" w:type="dxa"/>
            </w:tcMar>
            <w:vAlign w:val="center"/>
          </w:tcPr>
          <w:p w:rsidR="008B306C" w:rsidRPr="00E430B3" w:rsidRDefault="008B306C" w:rsidP="001D4EA2">
            <w:r w:rsidRPr="00E430B3">
              <w:t>[F</w:t>
            </w:r>
            <w:r w:rsidRPr="0080133D">
              <w:rPr>
                <w:vertAlign w:val="subscript"/>
              </w:rPr>
              <w:t>2</w:t>
            </w:r>
            <w:r w:rsidRPr="00E430B3">
              <w:t>]</w:t>
            </w:r>
          </w:p>
        </w:tc>
        <w:tc>
          <w:tcPr>
            <w:tcW w:w="1275" w:type="dxa"/>
            <w:tcBorders>
              <w:top w:val="nil"/>
              <w:left w:val="nil"/>
              <w:bottom w:val="nil"/>
              <w:right w:val="nil"/>
            </w:tcBorders>
            <w:tcMar>
              <w:top w:w="28" w:type="dxa"/>
              <w:left w:w="85" w:type="dxa"/>
              <w:bottom w:w="28" w:type="dxa"/>
              <w:right w:w="85" w:type="dxa"/>
            </w:tcMar>
            <w:vAlign w:val="center"/>
          </w:tcPr>
          <w:p w:rsidR="008B306C" w:rsidRPr="00E430B3" w:rsidRDefault="008B306C" w:rsidP="001D4EA2">
            <w:r w:rsidRPr="00E430B3">
              <w:t>[C</w:t>
            </w:r>
            <w:r>
              <w:t>lO</w:t>
            </w:r>
            <w:r w:rsidRPr="0080133D">
              <w:rPr>
                <w:vertAlign w:val="subscript"/>
              </w:rPr>
              <w:t>2</w:t>
            </w:r>
            <w:r w:rsidRPr="00E430B3">
              <w:t>]</w:t>
            </w:r>
          </w:p>
        </w:tc>
        <w:tc>
          <w:tcPr>
            <w:tcW w:w="2127" w:type="dxa"/>
            <w:tcBorders>
              <w:top w:val="nil"/>
              <w:left w:val="nil"/>
              <w:bottom w:val="nil"/>
              <w:right w:val="nil"/>
            </w:tcBorders>
            <w:tcMar>
              <w:top w:w="28" w:type="dxa"/>
              <w:left w:w="85" w:type="dxa"/>
              <w:bottom w:w="28" w:type="dxa"/>
              <w:right w:w="85" w:type="dxa"/>
            </w:tcMar>
            <w:vAlign w:val="center"/>
          </w:tcPr>
          <w:p w:rsidR="008B306C" w:rsidRPr="0080133D" w:rsidRDefault="008B306C" w:rsidP="001D4EA2">
            <w:pPr>
              <w:rPr>
                <w:lang w:val="en-US"/>
              </w:rPr>
            </w:pPr>
            <w:r w:rsidRPr="0080133D">
              <w:rPr>
                <w:i/>
                <w:lang w:val="en-US"/>
              </w:rPr>
              <w:t>s</w:t>
            </w:r>
            <w:r w:rsidRPr="0080133D">
              <w:rPr>
                <w:lang w:val="en-US"/>
              </w:rPr>
              <w:t xml:space="preserve"> (in mol F</w:t>
            </w:r>
            <w:r w:rsidRPr="0080133D">
              <w:rPr>
                <w:vertAlign w:val="subscript"/>
                <w:lang w:val="en-US"/>
              </w:rPr>
              <w:t>2</w:t>
            </w:r>
            <w:r>
              <w:sym w:font="Symbol" w:char="F0D7"/>
            </w:r>
            <w:r>
              <w:rPr>
                <w:lang w:val="en-US"/>
              </w:rPr>
              <w:t>L</w:t>
            </w:r>
            <w:r w:rsidRPr="0080133D">
              <w:rPr>
                <w:vertAlign w:val="superscript"/>
                <w:lang w:val="en-US"/>
              </w:rPr>
              <w:sym w:font="Symbol" w:char="F02D"/>
            </w:r>
            <w:r w:rsidRPr="0080133D">
              <w:rPr>
                <w:vertAlign w:val="superscript"/>
                <w:lang w:val="en-US"/>
              </w:rPr>
              <w:t>1</w:t>
            </w:r>
            <w:r>
              <w:rPr>
                <w:lang w:val="en-US"/>
              </w:rPr>
              <w:sym w:font="Symbol" w:char="F0D7"/>
            </w:r>
            <w:r w:rsidRPr="0080133D">
              <w:rPr>
                <w:lang w:val="en-US"/>
              </w:rPr>
              <w:t>sec</w:t>
            </w:r>
            <w:r>
              <w:rPr>
                <w:vertAlign w:val="superscript"/>
                <w:lang w:val="en-US"/>
              </w:rPr>
              <w:sym w:font="Symbol" w:char="F02D"/>
            </w:r>
            <w:r w:rsidRPr="0080133D">
              <w:rPr>
                <w:vertAlign w:val="superscript"/>
                <w:lang w:val="en-US"/>
              </w:rPr>
              <w:t>1</w:t>
            </w:r>
            <w:r w:rsidRPr="0080133D">
              <w:rPr>
                <w:lang w:val="en-US"/>
              </w:rPr>
              <w:t>)</w:t>
            </w:r>
          </w:p>
        </w:tc>
      </w:tr>
      <w:tr w:rsidR="008B306C" w:rsidRPr="00E430B3" w:rsidTr="001D4EA2">
        <w:tc>
          <w:tcPr>
            <w:tcW w:w="993" w:type="dxa"/>
            <w:tcBorders>
              <w:top w:val="nil"/>
              <w:left w:val="nil"/>
              <w:bottom w:val="nil"/>
              <w:right w:val="nil"/>
            </w:tcBorders>
            <w:tcMar>
              <w:top w:w="28" w:type="dxa"/>
              <w:left w:w="85" w:type="dxa"/>
              <w:bottom w:w="28" w:type="dxa"/>
              <w:right w:w="85" w:type="dxa"/>
            </w:tcMar>
            <w:vAlign w:val="center"/>
          </w:tcPr>
          <w:p w:rsidR="008B306C" w:rsidRPr="00E430B3" w:rsidRDefault="008B306C" w:rsidP="001D4EA2">
            <w:r w:rsidRPr="00E430B3">
              <w:t>0,10</w:t>
            </w:r>
          </w:p>
        </w:tc>
        <w:tc>
          <w:tcPr>
            <w:tcW w:w="1275" w:type="dxa"/>
            <w:tcBorders>
              <w:top w:val="nil"/>
              <w:left w:val="nil"/>
              <w:bottom w:val="nil"/>
              <w:right w:val="nil"/>
            </w:tcBorders>
            <w:tcMar>
              <w:top w:w="28" w:type="dxa"/>
              <w:left w:w="85" w:type="dxa"/>
              <w:bottom w:w="28" w:type="dxa"/>
              <w:right w:w="85" w:type="dxa"/>
            </w:tcMar>
            <w:vAlign w:val="center"/>
          </w:tcPr>
          <w:p w:rsidR="008B306C" w:rsidRPr="00E430B3" w:rsidRDefault="008B306C" w:rsidP="001D4EA2">
            <w:r w:rsidRPr="00E430B3">
              <w:t>0,010</w:t>
            </w:r>
          </w:p>
        </w:tc>
        <w:tc>
          <w:tcPr>
            <w:tcW w:w="2127" w:type="dxa"/>
            <w:tcBorders>
              <w:top w:val="nil"/>
              <w:left w:val="nil"/>
              <w:bottom w:val="nil"/>
              <w:right w:val="nil"/>
            </w:tcBorders>
            <w:tcMar>
              <w:top w:w="28" w:type="dxa"/>
              <w:left w:w="85" w:type="dxa"/>
              <w:bottom w:w="28" w:type="dxa"/>
              <w:right w:w="85" w:type="dxa"/>
            </w:tcMar>
            <w:vAlign w:val="center"/>
          </w:tcPr>
          <w:p w:rsidR="008B306C" w:rsidRPr="00E430B3" w:rsidRDefault="008B306C" w:rsidP="001D4EA2">
            <w:pPr>
              <w:jc w:val="center"/>
            </w:pPr>
            <w:r w:rsidRPr="00E430B3">
              <w:t>0,0012</w:t>
            </w:r>
          </w:p>
        </w:tc>
      </w:tr>
      <w:tr w:rsidR="008B306C" w:rsidRPr="00E430B3" w:rsidTr="001D4EA2">
        <w:tc>
          <w:tcPr>
            <w:tcW w:w="993" w:type="dxa"/>
            <w:tcBorders>
              <w:top w:val="nil"/>
              <w:left w:val="nil"/>
              <w:bottom w:val="nil"/>
              <w:right w:val="nil"/>
            </w:tcBorders>
            <w:tcMar>
              <w:top w:w="28" w:type="dxa"/>
              <w:left w:w="85" w:type="dxa"/>
              <w:bottom w:w="28" w:type="dxa"/>
              <w:right w:w="85" w:type="dxa"/>
            </w:tcMar>
            <w:vAlign w:val="center"/>
          </w:tcPr>
          <w:p w:rsidR="008B306C" w:rsidRPr="00E430B3" w:rsidRDefault="008B306C" w:rsidP="001D4EA2">
            <w:r w:rsidRPr="00E430B3">
              <w:t>0,10</w:t>
            </w:r>
          </w:p>
        </w:tc>
        <w:tc>
          <w:tcPr>
            <w:tcW w:w="1275" w:type="dxa"/>
            <w:tcBorders>
              <w:top w:val="nil"/>
              <w:left w:val="nil"/>
              <w:bottom w:val="nil"/>
              <w:right w:val="nil"/>
            </w:tcBorders>
            <w:tcMar>
              <w:top w:w="28" w:type="dxa"/>
              <w:left w:w="85" w:type="dxa"/>
              <w:bottom w:w="28" w:type="dxa"/>
              <w:right w:w="85" w:type="dxa"/>
            </w:tcMar>
            <w:vAlign w:val="center"/>
          </w:tcPr>
          <w:p w:rsidR="008B306C" w:rsidRPr="00E430B3" w:rsidRDefault="008B306C" w:rsidP="001D4EA2">
            <w:r w:rsidRPr="00E430B3">
              <w:t>0,030</w:t>
            </w:r>
          </w:p>
        </w:tc>
        <w:tc>
          <w:tcPr>
            <w:tcW w:w="2127" w:type="dxa"/>
            <w:tcBorders>
              <w:top w:val="nil"/>
              <w:left w:val="nil"/>
              <w:bottom w:val="nil"/>
              <w:right w:val="nil"/>
            </w:tcBorders>
            <w:tcMar>
              <w:top w:w="28" w:type="dxa"/>
              <w:left w:w="85" w:type="dxa"/>
              <w:bottom w:w="28" w:type="dxa"/>
              <w:right w:w="85" w:type="dxa"/>
            </w:tcMar>
            <w:vAlign w:val="center"/>
          </w:tcPr>
          <w:p w:rsidR="008B306C" w:rsidRPr="00E430B3" w:rsidRDefault="008B306C" w:rsidP="001D4EA2">
            <w:pPr>
              <w:jc w:val="center"/>
            </w:pPr>
            <w:r w:rsidRPr="00E430B3">
              <w:t>0,0036</w:t>
            </w:r>
          </w:p>
        </w:tc>
      </w:tr>
      <w:tr w:rsidR="008B306C" w:rsidRPr="00E430B3" w:rsidTr="001D4EA2">
        <w:tc>
          <w:tcPr>
            <w:tcW w:w="993" w:type="dxa"/>
            <w:tcBorders>
              <w:top w:val="nil"/>
              <w:left w:val="nil"/>
              <w:bottom w:val="nil"/>
              <w:right w:val="nil"/>
            </w:tcBorders>
            <w:tcMar>
              <w:top w:w="28" w:type="dxa"/>
              <w:left w:w="85" w:type="dxa"/>
              <w:bottom w:w="28" w:type="dxa"/>
              <w:right w:w="85" w:type="dxa"/>
            </w:tcMar>
            <w:vAlign w:val="center"/>
          </w:tcPr>
          <w:p w:rsidR="008B306C" w:rsidRPr="00E430B3" w:rsidRDefault="008B306C" w:rsidP="001D4EA2">
            <w:r w:rsidRPr="00E430B3">
              <w:t>0,10</w:t>
            </w:r>
          </w:p>
        </w:tc>
        <w:tc>
          <w:tcPr>
            <w:tcW w:w="1275" w:type="dxa"/>
            <w:tcBorders>
              <w:top w:val="nil"/>
              <w:left w:val="nil"/>
              <w:bottom w:val="nil"/>
              <w:right w:val="nil"/>
            </w:tcBorders>
            <w:tcMar>
              <w:top w:w="28" w:type="dxa"/>
              <w:left w:w="85" w:type="dxa"/>
              <w:bottom w:w="28" w:type="dxa"/>
              <w:right w:w="85" w:type="dxa"/>
            </w:tcMar>
            <w:vAlign w:val="center"/>
          </w:tcPr>
          <w:p w:rsidR="008B306C" w:rsidRPr="00E430B3" w:rsidRDefault="008B306C" w:rsidP="001D4EA2">
            <w:r w:rsidRPr="00E430B3">
              <w:t>0,040</w:t>
            </w:r>
          </w:p>
        </w:tc>
        <w:tc>
          <w:tcPr>
            <w:tcW w:w="2127" w:type="dxa"/>
            <w:tcBorders>
              <w:top w:val="nil"/>
              <w:left w:val="nil"/>
              <w:bottom w:val="nil"/>
              <w:right w:val="nil"/>
            </w:tcBorders>
            <w:tcMar>
              <w:top w:w="28" w:type="dxa"/>
              <w:left w:w="85" w:type="dxa"/>
              <w:bottom w:w="28" w:type="dxa"/>
              <w:right w:w="85" w:type="dxa"/>
            </w:tcMar>
            <w:vAlign w:val="center"/>
          </w:tcPr>
          <w:p w:rsidR="008B306C" w:rsidRPr="00E430B3" w:rsidRDefault="008B306C" w:rsidP="001D4EA2">
            <w:pPr>
              <w:jc w:val="center"/>
            </w:pPr>
            <w:r w:rsidRPr="00E430B3">
              <w:t>0,0048</w:t>
            </w:r>
          </w:p>
        </w:tc>
      </w:tr>
      <w:tr w:rsidR="008B306C" w:rsidRPr="00E430B3" w:rsidTr="001D4EA2">
        <w:tc>
          <w:tcPr>
            <w:tcW w:w="993" w:type="dxa"/>
            <w:tcBorders>
              <w:top w:val="nil"/>
              <w:left w:val="nil"/>
              <w:bottom w:val="nil"/>
              <w:right w:val="nil"/>
            </w:tcBorders>
            <w:tcMar>
              <w:top w:w="28" w:type="dxa"/>
              <w:left w:w="85" w:type="dxa"/>
              <w:bottom w:w="28" w:type="dxa"/>
              <w:right w:w="85" w:type="dxa"/>
            </w:tcMar>
            <w:vAlign w:val="center"/>
          </w:tcPr>
          <w:p w:rsidR="008B306C" w:rsidRPr="00E430B3" w:rsidRDefault="008B306C" w:rsidP="001D4EA2">
            <w:r w:rsidRPr="00E430B3">
              <w:t>0,20</w:t>
            </w:r>
          </w:p>
        </w:tc>
        <w:tc>
          <w:tcPr>
            <w:tcW w:w="1275" w:type="dxa"/>
            <w:tcBorders>
              <w:top w:val="nil"/>
              <w:left w:val="nil"/>
              <w:bottom w:val="nil"/>
              <w:right w:val="nil"/>
            </w:tcBorders>
            <w:tcMar>
              <w:top w:w="28" w:type="dxa"/>
              <w:left w:w="85" w:type="dxa"/>
              <w:bottom w:w="28" w:type="dxa"/>
              <w:right w:w="85" w:type="dxa"/>
            </w:tcMar>
            <w:vAlign w:val="center"/>
          </w:tcPr>
          <w:p w:rsidR="008B306C" w:rsidRPr="00E430B3" w:rsidRDefault="008B306C" w:rsidP="001D4EA2">
            <w:r w:rsidRPr="00E430B3">
              <w:t>0,010</w:t>
            </w:r>
          </w:p>
        </w:tc>
        <w:tc>
          <w:tcPr>
            <w:tcW w:w="2127" w:type="dxa"/>
            <w:tcBorders>
              <w:top w:val="nil"/>
              <w:left w:val="nil"/>
              <w:bottom w:val="nil"/>
              <w:right w:val="nil"/>
            </w:tcBorders>
            <w:tcMar>
              <w:top w:w="28" w:type="dxa"/>
              <w:left w:w="85" w:type="dxa"/>
              <w:bottom w:w="28" w:type="dxa"/>
              <w:right w:w="85" w:type="dxa"/>
            </w:tcMar>
            <w:vAlign w:val="center"/>
          </w:tcPr>
          <w:p w:rsidR="008B306C" w:rsidRPr="00E430B3" w:rsidRDefault="008B306C" w:rsidP="001D4EA2">
            <w:pPr>
              <w:jc w:val="center"/>
            </w:pPr>
            <w:r w:rsidRPr="00E430B3">
              <w:t>0,0024</w:t>
            </w:r>
          </w:p>
        </w:tc>
      </w:tr>
    </w:tbl>
    <w:p w:rsidR="008B306C" w:rsidRPr="008B306C" w:rsidRDefault="008B306C" w:rsidP="008B306C">
      <w:pPr>
        <w:pStyle w:val="CSElijst"/>
        <w:numPr>
          <w:ilvl w:val="0"/>
          <w:numId w:val="7"/>
        </w:numPr>
        <w:ind w:left="0" w:hanging="567"/>
        <w:rPr>
          <w:lang w:val="nl-NL"/>
        </w:rPr>
      </w:pPr>
      <w:r w:rsidRPr="008B306C">
        <w:rPr>
          <w:lang w:val="nl-NL"/>
        </w:rPr>
        <w:t>Stel met behulp van de gegevens uit deze tabel een vergelijking op voor het verband tussen de reactiesnelheid en de concentraties van F</w:t>
      </w:r>
      <w:r w:rsidRPr="008B306C">
        <w:rPr>
          <w:vertAlign w:val="subscript"/>
          <w:lang w:val="nl-NL"/>
        </w:rPr>
        <w:t>2</w:t>
      </w:r>
      <w:r w:rsidRPr="008B306C">
        <w:rPr>
          <w:lang w:val="nl-NL"/>
        </w:rPr>
        <w:t xml:space="preserve"> en ClO</w:t>
      </w:r>
      <w:r w:rsidRPr="008B306C">
        <w:rPr>
          <w:vertAlign w:val="subscript"/>
          <w:lang w:val="nl-NL"/>
        </w:rPr>
        <w:t>2</w:t>
      </w:r>
      <w:r w:rsidRPr="008B306C">
        <w:rPr>
          <w:lang w:val="nl-NL"/>
        </w:rPr>
        <w:t>.</w:t>
      </w:r>
    </w:p>
    <w:p w:rsidR="008B306C" w:rsidRPr="008B306C" w:rsidRDefault="008B306C" w:rsidP="008B306C">
      <w:pPr>
        <w:pStyle w:val="CSElijst"/>
        <w:numPr>
          <w:ilvl w:val="0"/>
          <w:numId w:val="7"/>
        </w:numPr>
        <w:ind w:left="0" w:hanging="567"/>
        <w:rPr>
          <w:lang w:val="nl-NL"/>
        </w:rPr>
      </w:pPr>
      <w:r w:rsidRPr="008B306C">
        <w:rPr>
          <w:lang w:val="nl-NL"/>
        </w:rPr>
        <w:t>Bereken de reactiesnelheid die zou optreden indien men onder dezelfde omstandigheden als bovengenoemd, voor [F</w:t>
      </w:r>
      <w:r w:rsidRPr="008B306C">
        <w:rPr>
          <w:vertAlign w:val="subscript"/>
          <w:lang w:val="nl-NL"/>
        </w:rPr>
        <w:t>2</w:t>
      </w:r>
      <w:r w:rsidRPr="008B306C">
        <w:rPr>
          <w:lang w:val="nl-NL"/>
        </w:rPr>
        <w:t>] 0,20 en voor [ClO</w:t>
      </w:r>
      <w:r w:rsidRPr="008B306C">
        <w:rPr>
          <w:vertAlign w:val="subscript"/>
          <w:lang w:val="nl-NL"/>
        </w:rPr>
        <w:t>2</w:t>
      </w:r>
      <w:r w:rsidRPr="008B306C">
        <w:rPr>
          <w:lang w:val="nl-NL"/>
        </w:rPr>
        <w:t>] 0,020 zou kiezen.</w:t>
      </w:r>
    </w:p>
    <w:p w:rsidR="008B306C" w:rsidRPr="008B306C" w:rsidRDefault="008B306C" w:rsidP="008B306C">
      <w:pPr>
        <w:pStyle w:val="CSElijst"/>
        <w:numPr>
          <w:ilvl w:val="0"/>
          <w:numId w:val="7"/>
        </w:numPr>
        <w:ind w:left="0" w:hanging="567"/>
        <w:rPr>
          <w:lang w:val="nl-NL"/>
        </w:rPr>
      </w:pPr>
      <w:r w:rsidRPr="008B306C">
        <w:rPr>
          <w:lang w:val="nl-NL"/>
        </w:rPr>
        <w:t>Licht toe dat de opvatting dat de reactie in één stap zou verlopen, in strijd is met de experimentele gegevens.</w:t>
      </w:r>
    </w:p>
    <w:p w:rsidR="008B306C" w:rsidRPr="00E430B3" w:rsidRDefault="008B306C" w:rsidP="008B306C">
      <w:r w:rsidRPr="00E430B3">
        <w:t>De reactie zou wel in twee stappen kunnen verlopen, waarvan dan één stap de snelheid zou moeten bepalen. Men kan voor de snelheidsbepalende stap verschillende mogelijkheden bedenken.</w:t>
      </w:r>
    </w:p>
    <w:p w:rsidR="008B306C" w:rsidRPr="008B306C" w:rsidRDefault="008B306C" w:rsidP="008B306C">
      <w:pPr>
        <w:pStyle w:val="CSElijst"/>
        <w:numPr>
          <w:ilvl w:val="0"/>
          <w:numId w:val="7"/>
        </w:numPr>
        <w:ind w:left="0" w:hanging="567"/>
        <w:rPr>
          <w:lang w:val="nl-NL"/>
        </w:rPr>
      </w:pPr>
      <w:r w:rsidRPr="008B306C">
        <w:rPr>
          <w:lang w:val="nl-NL"/>
        </w:rPr>
        <w:t>Geef een snelheidsbepalende reactiestap die in overeenstemming is met de experimentele gegevens, in een vergelijking weer.</w:t>
      </w:r>
    </w:p>
    <w:p w:rsidR="008B306C" w:rsidRPr="008B306C" w:rsidRDefault="008B306C" w:rsidP="008B306C">
      <w:pPr>
        <w:pStyle w:val="CSElijst"/>
        <w:numPr>
          <w:ilvl w:val="0"/>
          <w:numId w:val="7"/>
        </w:numPr>
        <w:ind w:left="0" w:hanging="567"/>
        <w:rPr>
          <w:lang w:val="nl-NL"/>
        </w:rPr>
      </w:pPr>
      <w:r w:rsidRPr="008B306C">
        <w:rPr>
          <w:lang w:val="nl-NL"/>
        </w:rPr>
        <w:t>Geef de daarbij behorende andere reactiestap in een vergelijking weer.</w:t>
      </w:r>
    </w:p>
    <w:p w:rsidR="008B306C" w:rsidRDefault="008B306C" w:rsidP="008B306C">
      <w:pPr>
        <w:rPr>
          <w:noProof/>
          <w:sz w:val="28"/>
          <w:szCs w:val="28"/>
        </w:rPr>
      </w:pPr>
      <w:r>
        <w:br w:type="page"/>
      </w:r>
    </w:p>
    <w:bookmarkStart w:id="4" w:name="_Toc490827147"/>
    <w:p w:rsidR="008B306C" w:rsidRPr="00E430B3" w:rsidRDefault="008B306C" w:rsidP="008B306C">
      <w:pPr>
        <w:pStyle w:val="Kop2"/>
      </w:pPr>
      <w:r w:rsidRPr="0018005E">
        <w:rPr>
          <w:noProof/>
        </w:rPr>
        <w:lastRenderedPageBreak/>
        <mc:AlternateContent>
          <mc:Choice Requires="wps">
            <w:drawing>
              <wp:anchor distT="0" distB="0" distL="0" distR="0" simplePos="0" relativeHeight="251663360" behindDoc="0" locked="0" layoutInCell="0" allowOverlap="1" wp14:anchorId="73F85ADD" wp14:editId="19C2B66A">
                <wp:simplePos x="0" y="0"/>
                <wp:positionH relativeFrom="margin">
                  <wp:posOffset>-337308</wp:posOffset>
                </wp:positionH>
                <wp:positionV relativeFrom="paragraph">
                  <wp:posOffset>239869</wp:posOffset>
                </wp:positionV>
                <wp:extent cx="6172835" cy="0"/>
                <wp:effectExtent l="0" t="19050" r="56515" b="38100"/>
                <wp:wrapSquare wrapText="bothSides"/>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50472" id="Line 2" o:spid="_x0000_s1026" style="position:absolute;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26.55pt,18.9pt" to="45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eIAFQIAACo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" o:allowincell="f" strokecolor="silver" strokeweight="4.8pt">
                <w10:wrap type="square" anchorx="margin"/>
              </v:line>
            </w:pict>
          </mc:Fallback>
        </mc:AlternateContent>
      </w:r>
      <w:r>
        <w:t>Reactiemechanisme</w:t>
      </w:r>
      <w:r>
        <w:tab/>
        <w:t>1974-I(IVa)</w:t>
      </w:r>
      <w:bookmarkEnd w:id="4"/>
    </w:p>
    <w:p w:rsidR="008B306C" w:rsidRPr="00E430B3" w:rsidRDefault="008B306C" w:rsidP="008B306C">
      <w:pPr>
        <w:pBdr>
          <w:top w:val="single" w:sz="4" w:space="1" w:color="auto"/>
          <w:left w:val="single" w:sz="4" w:space="4" w:color="auto"/>
          <w:bottom w:val="single" w:sz="4" w:space="1" w:color="auto"/>
          <w:right w:val="single" w:sz="4" w:space="4" w:color="auto"/>
        </w:pBdr>
      </w:pPr>
      <w:r w:rsidRPr="00E430B3">
        <w:t>Deze opgave is bedoeld voor alle kandidaten met uitzondering van hen die het programma va</w:t>
      </w:r>
      <w:r>
        <w:t>n</w:t>
      </w:r>
      <w:r w:rsidRPr="00E430B3">
        <w:t xml:space="preserve"> de C.M.L.S., W.E.I.(S.) of Theorie uit Experimenten gevolgd hebben.</w:t>
      </w:r>
    </w:p>
    <w:p w:rsidR="008B306C" w:rsidRPr="00E430B3" w:rsidRDefault="008B306C" w:rsidP="008B306C">
      <w:r w:rsidRPr="00E430B3">
        <w:t>Wanneer men monobroomethaan met een oplossing van kaliumhydroxide laat reageren, ontstaat o.a. ethanol. Monobroomethaan kan op analoge wijze reageren met een oplossing van kaliumwaterstofsulfide onder vorming van o.a. ethaanthiol, CH</w:t>
      </w:r>
      <w:r w:rsidRPr="0080133D">
        <w:rPr>
          <w:vertAlign w:val="subscript"/>
        </w:rPr>
        <w:t>3</w:t>
      </w:r>
      <w:r>
        <w:sym w:font="Symbol" w:char="F02D"/>
      </w:r>
      <w:r w:rsidRPr="00E430B3">
        <w:t>CH</w:t>
      </w:r>
      <w:r w:rsidRPr="0080133D">
        <w:rPr>
          <w:vertAlign w:val="subscript"/>
        </w:rPr>
        <w:t>2</w:t>
      </w:r>
      <w:r>
        <w:sym w:font="Symbol" w:char="F02D"/>
      </w:r>
      <w:r w:rsidRPr="00E430B3">
        <w:t>SH. Beide reacties verlopen</w:t>
      </w:r>
      <w:r>
        <w:t xml:space="preserve"> </w:t>
      </w:r>
      <w:r w:rsidRPr="00E430B3">
        <w:t>volgens het zogenaamde S</w:t>
      </w:r>
      <w:r w:rsidRPr="0080133D">
        <w:rPr>
          <w:vertAlign w:val="subscript"/>
        </w:rPr>
        <w:t>N</w:t>
      </w:r>
      <w:r w:rsidRPr="00E430B3">
        <w:t>2-mechanisme. Thiol is afgeleid van het Griekse theion</w:t>
      </w:r>
      <w:r>
        <w:t xml:space="preserve"> (= </w:t>
      </w:r>
      <w:r w:rsidRPr="00E430B3">
        <w:t>zwavel).</w:t>
      </w:r>
    </w:p>
    <w:p w:rsidR="008B306C" w:rsidRPr="008B306C" w:rsidRDefault="008B306C" w:rsidP="008B306C">
      <w:pPr>
        <w:pStyle w:val="CSElijst"/>
        <w:numPr>
          <w:ilvl w:val="0"/>
          <w:numId w:val="7"/>
        </w:numPr>
        <w:ind w:left="0" w:hanging="567"/>
        <w:rPr>
          <w:lang w:val="nl-NL"/>
        </w:rPr>
      </w:pPr>
      <w:bookmarkStart w:id="5" w:name="_Ref487549384"/>
      <w:r w:rsidRPr="008B306C">
        <w:rPr>
          <w:lang w:val="nl-NL"/>
        </w:rPr>
        <w:t>Geef beide reacties weer in vergelijkingen met structuurformules.</w:t>
      </w:r>
      <w:bookmarkEnd w:id="5"/>
    </w:p>
    <w:p w:rsidR="008B306C" w:rsidRPr="008B306C" w:rsidRDefault="008B306C" w:rsidP="008B306C">
      <w:pPr>
        <w:pStyle w:val="CSElijst"/>
        <w:numPr>
          <w:ilvl w:val="0"/>
          <w:numId w:val="7"/>
        </w:numPr>
        <w:ind w:left="0" w:hanging="567"/>
        <w:rPr>
          <w:lang w:val="nl-NL"/>
        </w:rPr>
      </w:pPr>
      <w:r w:rsidRPr="008B306C">
        <w:rPr>
          <w:lang w:val="nl-NL"/>
        </w:rPr>
        <w:t>Beschrijf het mechanisme voor de vorming van ethaanthiol.</w:t>
      </w:r>
    </w:p>
    <w:p w:rsidR="008B306C" w:rsidRPr="00E430B3" w:rsidRDefault="008B306C" w:rsidP="008B306C">
      <w:r w:rsidRPr="00E430B3">
        <w:t>Ethanol en ethaanthiol koken bij resp. 78,5 °C en 35,0 °C.</w:t>
      </w:r>
    </w:p>
    <w:p w:rsidR="008B306C" w:rsidRPr="008B306C" w:rsidRDefault="008B306C" w:rsidP="008B306C">
      <w:pPr>
        <w:pStyle w:val="CSElijst"/>
        <w:numPr>
          <w:ilvl w:val="0"/>
          <w:numId w:val="7"/>
        </w:numPr>
        <w:ind w:left="0" w:hanging="567"/>
        <w:rPr>
          <w:lang w:val="nl-NL"/>
        </w:rPr>
      </w:pPr>
      <w:r w:rsidRPr="008B306C">
        <w:rPr>
          <w:lang w:val="nl-NL"/>
        </w:rPr>
        <w:t>Geef een beschouwing over de factoren die de intermoleculaire krachten in elk van deze vloeistoffen bepalen, en verklaar daarmee het vrij grote verschil in kookpunt.</w:t>
      </w:r>
    </w:p>
    <w:p w:rsidR="008B306C" w:rsidRPr="00E430B3" w:rsidRDefault="008B306C" w:rsidP="008B306C">
      <w:r w:rsidRPr="00E430B3">
        <w:t>De eigenschappen van een zuur zijn bij ethanol vrijwel niet aanwezig.</w:t>
      </w:r>
    </w:p>
    <w:p w:rsidR="008B306C" w:rsidRPr="00E430B3" w:rsidRDefault="008B306C" w:rsidP="008B306C">
      <w:pPr>
        <w:pStyle w:val="CSElijst"/>
        <w:numPr>
          <w:ilvl w:val="0"/>
          <w:numId w:val="7"/>
        </w:numPr>
        <w:ind w:left="0" w:hanging="567"/>
      </w:pPr>
      <w:r w:rsidRPr="008B306C">
        <w:rPr>
          <w:lang w:val="nl-NL"/>
        </w:rPr>
        <w:t xml:space="preserve">Verwacht je dat ethaanthiol deze eigenschappen in sterkere mate zal vertonen? </w:t>
      </w:r>
      <w:r w:rsidRPr="00E430B3">
        <w:t>Beredeneer je antwoord.</w:t>
      </w:r>
    </w:p>
    <w:p w:rsidR="008B306C" w:rsidRPr="00E430B3" w:rsidRDefault="008B306C" w:rsidP="008B306C">
      <w:r w:rsidRPr="00E430B3">
        <w:t>Thiofenol</w:t>
      </w:r>
      <w:r>
        <w:t>,</w:t>
      </w:r>
      <w:r w:rsidRPr="00E430B3">
        <w:t xml:space="preserve"> C</w:t>
      </w:r>
      <w:r w:rsidRPr="0080133D">
        <w:rPr>
          <w:vertAlign w:val="subscript"/>
        </w:rPr>
        <w:t>6</w:t>
      </w:r>
      <w:r w:rsidRPr="00E430B3">
        <w:t>H</w:t>
      </w:r>
      <w:r w:rsidRPr="0080133D">
        <w:rPr>
          <w:vertAlign w:val="subscript"/>
        </w:rPr>
        <w:t>5</w:t>
      </w:r>
      <w:r w:rsidRPr="00E430B3">
        <w:t>SH, vormt gemakkelijk radicalen. Het radicaal C</w:t>
      </w:r>
      <w:r w:rsidRPr="003D0212">
        <w:rPr>
          <w:vertAlign w:val="subscript"/>
        </w:rPr>
        <w:t>6</w:t>
      </w:r>
      <w:r w:rsidRPr="00E430B3">
        <w:t>H</w:t>
      </w:r>
      <w:r>
        <w:rPr>
          <w:vertAlign w:val="subscript"/>
        </w:rPr>
        <w:t>5</w:t>
      </w:r>
      <w:r w:rsidRPr="00E430B3">
        <w:t>S</w:t>
      </w:r>
      <w:r>
        <w:sym w:font="Symbol" w:char="F0D7"/>
      </w:r>
      <w:r w:rsidRPr="00E430B3">
        <w:t xml:space="preserve"> wordt door mesomerie gestabiliseerd.</w:t>
      </w:r>
    </w:p>
    <w:p w:rsidR="008B306C" w:rsidRPr="008B306C" w:rsidRDefault="008B306C" w:rsidP="008B306C">
      <w:pPr>
        <w:pStyle w:val="CSElijst"/>
        <w:numPr>
          <w:ilvl w:val="0"/>
          <w:numId w:val="7"/>
        </w:numPr>
        <w:ind w:left="0" w:hanging="567"/>
        <w:rPr>
          <w:lang w:val="nl-NL"/>
        </w:rPr>
      </w:pPr>
      <w:r w:rsidRPr="008B306C">
        <w:rPr>
          <w:lang w:val="nl-NL"/>
        </w:rPr>
        <w:t>Geef van C</w:t>
      </w:r>
      <w:r w:rsidRPr="008B306C">
        <w:rPr>
          <w:vertAlign w:val="subscript"/>
          <w:lang w:val="nl-NL"/>
        </w:rPr>
        <w:t>6</w:t>
      </w:r>
      <w:r w:rsidRPr="008B306C">
        <w:rPr>
          <w:lang w:val="nl-NL"/>
        </w:rPr>
        <w:t>H</w:t>
      </w:r>
      <w:r w:rsidRPr="008B306C">
        <w:rPr>
          <w:vertAlign w:val="subscript"/>
          <w:lang w:val="nl-NL"/>
        </w:rPr>
        <w:t>5</w:t>
      </w:r>
      <w:r w:rsidRPr="008B306C">
        <w:rPr>
          <w:lang w:val="nl-NL"/>
        </w:rPr>
        <w:t>S</w:t>
      </w:r>
      <w:r>
        <w:sym w:font="Symbol" w:char="F0D7"/>
      </w:r>
      <w:r w:rsidRPr="008B306C">
        <w:rPr>
          <w:lang w:val="nl-NL"/>
        </w:rPr>
        <w:t xml:space="preserve"> een drietal grensstructuren.</w:t>
      </w:r>
    </w:p>
    <w:p w:rsidR="008B306C" w:rsidRPr="00E430B3" w:rsidRDefault="008B306C" w:rsidP="008B306C">
      <w:r w:rsidRPr="00E430B3">
        <w:t>De radicalen C</w:t>
      </w:r>
      <w:r w:rsidRPr="003D0212">
        <w:rPr>
          <w:vertAlign w:val="subscript"/>
        </w:rPr>
        <w:t>6</w:t>
      </w:r>
      <w:r w:rsidRPr="00E430B3">
        <w:t>H</w:t>
      </w:r>
      <w:r>
        <w:rPr>
          <w:vertAlign w:val="subscript"/>
        </w:rPr>
        <w:t>5</w:t>
      </w:r>
      <w:r w:rsidRPr="00E430B3">
        <w:t>S</w:t>
      </w:r>
      <w:r>
        <w:sym w:font="Symbol" w:char="F0D7"/>
      </w:r>
      <w:r w:rsidRPr="00E430B3">
        <w:t xml:space="preserve"> kunnen geaddeerd worden aan onverzadigde verbindingen, bijvoorbeeld aan fenyletheen (styreen).</w:t>
      </w:r>
    </w:p>
    <w:p w:rsidR="008B306C" w:rsidRPr="008B306C" w:rsidRDefault="008B306C" w:rsidP="008B306C">
      <w:pPr>
        <w:pStyle w:val="CSElijst"/>
        <w:numPr>
          <w:ilvl w:val="0"/>
          <w:numId w:val="7"/>
        </w:numPr>
        <w:ind w:left="0" w:hanging="567"/>
        <w:rPr>
          <w:lang w:val="nl-NL"/>
        </w:rPr>
      </w:pPr>
      <w:bookmarkStart w:id="6" w:name="_Ref487548376"/>
      <w:r w:rsidRPr="008B306C">
        <w:rPr>
          <w:lang w:val="nl-NL"/>
        </w:rPr>
        <w:t>Leg uit hoe deze additie het begin zou kunnen zijn van een polymerisatieproces.</w:t>
      </w:r>
      <w:bookmarkEnd w:id="6"/>
    </w:p>
    <w:p w:rsidR="008B306C" w:rsidRPr="00E430B3" w:rsidRDefault="008B306C" w:rsidP="008B306C">
      <w:r w:rsidRPr="00E430B3">
        <w:t>Bij polymerisatie komt door een zogenaamde terminatiereactie op een gegeven ogenblik een eind aan de verdere verlenging van een macromolecuul.</w:t>
      </w:r>
    </w:p>
    <w:p w:rsidR="008B306C" w:rsidRPr="008B306C" w:rsidRDefault="008B306C" w:rsidP="008B306C">
      <w:pPr>
        <w:pStyle w:val="CSElijst"/>
        <w:numPr>
          <w:ilvl w:val="0"/>
          <w:numId w:val="7"/>
        </w:numPr>
        <w:ind w:left="0" w:hanging="567"/>
        <w:rPr>
          <w:lang w:val="nl-NL"/>
        </w:rPr>
      </w:pPr>
      <w:r w:rsidRPr="008B306C">
        <w:rPr>
          <w:lang w:val="nl-NL"/>
        </w:rPr>
        <w:t xml:space="preserve">Geef twee mogelijke terminatiereacties voor het onder </w:t>
      </w:r>
      <w:r>
        <w:fldChar w:fldCharType="begin"/>
      </w:r>
      <w:r w:rsidRPr="008B306C">
        <w:rPr>
          <w:lang w:val="nl-NL"/>
        </w:rPr>
        <w:instrText xml:space="preserve"> REF _Ref487548376 \r \h </w:instrText>
      </w:r>
      <w:r>
        <w:fldChar w:fldCharType="separate"/>
      </w:r>
      <w:r w:rsidRPr="008B306C">
        <w:rPr>
          <w:lang w:val="nl-NL"/>
        </w:rPr>
        <w:t xml:space="preserve">25 </w:t>
      </w:r>
      <w:r>
        <w:t></w:t>
      </w:r>
      <w:r>
        <w:fldChar w:fldCharType="end"/>
      </w:r>
      <w:r w:rsidRPr="008B306C">
        <w:rPr>
          <w:lang w:val="nl-NL"/>
        </w:rPr>
        <w:t xml:space="preserve"> aangeduide polymerisatieproces.</w:t>
      </w:r>
    </w:p>
    <w:p w:rsidR="008B306C" w:rsidRPr="008B306C" w:rsidRDefault="008B306C" w:rsidP="008B306C">
      <w:pPr>
        <w:pStyle w:val="CSElijst"/>
        <w:numPr>
          <w:ilvl w:val="0"/>
          <w:numId w:val="7"/>
        </w:numPr>
        <w:ind w:left="0" w:hanging="567"/>
        <w:rPr>
          <w:lang w:val="nl-NL"/>
        </w:rPr>
      </w:pPr>
      <w:r w:rsidRPr="008B306C">
        <w:rPr>
          <w:lang w:val="nl-NL"/>
        </w:rPr>
        <w:t>Beredeneer welk verband er bestaat tussen de concentratie van het radicaal C</w:t>
      </w:r>
      <w:r w:rsidRPr="008B306C">
        <w:rPr>
          <w:vertAlign w:val="subscript"/>
          <w:lang w:val="nl-NL"/>
        </w:rPr>
        <w:t>6</w:t>
      </w:r>
      <w:r w:rsidRPr="008B306C">
        <w:rPr>
          <w:lang w:val="nl-NL"/>
        </w:rPr>
        <w:t>H</w:t>
      </w:r>
      <w:r w:rsidRPr="008B306C">
        <w:rPr>
          <w:vertAlign w:val="subscript"/>
          <w:lang w:val="nl-NL"/>
        </w:rPr>
        <w:t>5</w:t>
      </w:r>
      <w:r w:rsidRPr="008B306C">
        <w:rPr>
          <w:lang w:val="nl-NL"/>
        </w:rPr>
        <w:t>S</w:t>
      </w:r>
      <w:r>
        <w:sym w:font="Symbol" w:char="F0D7"/>
      </w:r>
      <w:r w:rsidRPr="008B306C">
        <w:rPr>
          <w:lang w:val="nl-NL"/>
        </w:rPr>
        <w:t xml:space="preserve"> en de gemiddelde ketenlengte.</w:t>
      </w:r>
    </w:p>
    <w:bookmarkStart w:id="7" w:name="_Toc490827148"/>
    <w:p w:rsidR="008B306C" w:rsidRPr="00E430B3" w:rsidRDefault="008B306C" w:rsidP="008B306C">
      <w:pPr>
        <w:pStyle w:val="Kop2"/>
      </w:pPr>
      <w:r w:rsidRPr="0018005E">
        <w:rPr>
          <w:noProof/>
        </w:rPr>
        <mc:AlternateContent>
          <mc:Choice Requires="wps">
            <w:drawing>
              <wp:anchor distT="0" distB="0" distL="0" distR="0" simplePos="0" relativeHeight="251664384" behindDoc="0" locked="0" layoutInCell="0" allowOverlap="1" wp14:anchorId="5DDCCA29" wp14:editId="7A4475EF">
                <wp:simplePos x="0" y="0"/>
                <wp:positionH relativeFrom="margin">
                  <wp:posOffset>-361429</wp:posOffset>
                </wp:positionH>
                <wp:positionV relativeFrom="paragraph">
                  <wp:posOffset>335119</wp:posOffset>
                </wp:positionV>
                <wp:extent cx="6172835" cy="0"/>
                <wp:effectExtent l="0" t="19050" r="56515" b="38100"/>
                <wp:wrapSquare wrapText="bothSides"/>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9B4D4" id="Line 2" o:spid="_x0000_s1026" style="position:absolute;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28.45pt,26.4pt" to="457.6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rWRFgIAACo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" o:allowincell="f" strokecolor="silver" strokeweight="4.8pt">
                <w10:wrap type="square" anchorx="margin"/>
              </v:line>
            </w:pict>
          </mc:Fallback>
        </mc:AlternateContent>
      </w:r>
      <w:r>
        <w:t>Structuur</w:t>
      </w:r>
      <w:r w:rsidRPr="00B92CA4">
        <w:t xml:space="preserve"> </w:t>
      </w:r>
      <w:r>
        <w:t>en</w:t>
      </w:r>
      <w:r w:rsidRPr="0018005E">
        <w:t xml:space="preserve"> </w:t>
      </w:r>
      <w:r>
        <w:t>eigenschappen</w:t>
      </w:r>
      <w:r>
        <w:tab/>
        <w:t>1974-I(IVb)</w:t>
      </w:r>
      <w:bookmarkEnd w:id="7"/>
    </w:p>
    <w:p w:rsidR="008B306C" w:rsidRPr="00E430B3" w:rsidRDefault="008B306C" w:rsidP="008B306C">
      <w:pPr>
        <w:pBdr>
          <w:top w:val="single" w:sz="4" w:space="1" w:color="auto"/>
          <w:left w:val="single" w:sz="4" w:space="4" w:color="auto"/>
          <w:bottom w:val="single" w:sz="4" w:space="1" w:color="auto"/>
          <w:right w:val="single" w:sz="4" w:space="4" w:color="auto"/>
        </w:pBdr>
      </w:pPr>
      <w:r w:rsidRPr="00E430B3">
        <w:t>Deze opgave is uitsluitend bedoeld voor de kandidaten die het programma van de C.M.L.S., W.E.</w:t>
      </w:r>
      <w:r>
        <w:t>I</w:t>
      </w:r>
      <w:r w:rsidRPr="00E430B3">
        <w:t>.(S.) of T.U.E. hebben gevolgd.</w:t>
      </w:r>
    </w:p>
    <w:p w:rsidR="008B306C" w:rsidRPr="00E430B3" w:rsidRDefault="008B306C" w:rsidP="008B306C">
      <w:r w:rsidRPr="00E430B3">
        <w:t>Wanneer men monobroomethaan met een oplossing van kaliumhydroxide laat reageren, ontstaat o.a. ethanol. Monobroomethaan kan op analoge wijze reageren met een oplossing van kaliumwaterstofsulfide onder vorming van o.a. ethaanthiol, een kleurloze vloeistof (smpt</w:t>
      </w:r>
      <w:r>
        <w:t>.</w:t>
      </w:r>
      <w:r w:rsidRPr="00E430B3">
        <w:t xml:space="preserve"> </w:t>
      </w:r>
      <w:r>
        <w:sym w:font="Symbol" w:char="F02D"/>
      </w:r>
      <w:r w:rsidRPr="00E430B3">
        <w:t>147 °C, kpt</w:t>
      </w:r>
      <w:r>
        <w:t>.</w:t>
      </w:r>
      <w:r w:rsidRPr="00E430B3">
        <w:t xml:space="preserve"> 35 °C) met een zeer onaangename geur, formule CH</w:t>
      </w:r>
      <w:r w:rsidRPr="003D0212">
        <w:rPr>
          <w:vertAlign w:val="subscript"/>
        </w:rPr>
        <w:t>3</w:t>
      </w:r>
      <w:r>
        <w:sym w:font="Symbol" w:char="F02D"/>
      </w:r>
      <w:r w:rsidRPr="00E430B3">
        <w:t>CH</w:t>
      </w:r>
      <w:r w:rsidRPr="003D0212">
        <w:rPr>
          <w:vertAlign w:val="subscript"/>
        </w:rPr>
        <w:t>2</w:t>
      </w:r>
      <w:r>
        <w:sym w:font="Symbol" w:char="F02D"/>
      </w:r>
      <w:r w:rsidRPr="00E430B3">
        <w:t>SH.</w:t>
      </w:r>
      <w:r>
        <w:t xml:space="preserve"> </w:t>
      </w:r>
      <w:r w:rsidRPr="00E430B3">
        <w:t>Thiol is afgeleid van het Griekse theion</w:t>
      </w:r>
      <w:r>
        <w:t xml:space="preserve"> (= </w:t>
      </w:r>
      <w:r w:rsidRPr="00E430B3">
        <w:t>zwavel).</w:t>
      </w:r>
    </w:p>
    <w:p w:rsidR="008B306C" w:rsidRPr="008B306C" w:rsidRDefault="008B306C" w:rsidP="008B306C">
      <w:pPr>
        <w:pStyle w:val="CSElijst"/>
        <w:numPr>
          <w:ilvl w:val="0"/>
          <w:numId w:val="20"/>
        </w:numPr>
        <w:rPr>
          <w:lang w:val="nl-NL"/>
        </w:rPr>
      </w:pPr>
      <w:r w:rsidRPr="008B306C">
        <w:rPr>
          <w:lang w:val="nl-NL"/>
        </w:rPr>
        <w:t>Geef beide reacties weer in vergelijkingen met structuurformules.</w:t>
      </w:r>
    </w:p>
    <w:p w:rsidR="008B306C" w:rsidRPr="00E430B3" w:rsidRDefault="008B306C" w:rsidP="008B306C">
      <w:r w:rsidRPr="00E430B3">
        <w:t>De alkanolen en alkaanthiolen vertonen in hun reactiemogelijkheden een aantal punten van overeenkomst.</w:t>
      </w:r>
    </w:p>
    <w:p w:rsidR="008B306C" w:rsidRPr="00E430B3" w:rsidRDefault="008B306C" w:rsidP="008B306C">
      <w:r w:rsidRPr="00E430B3">
        <w:t>Zowel alkanolen als alkaanthiolen kunnen met carbonzuren reageren onder vorming van water. We kunnen alkaanthiolen en alkanolen opvatten als zwakke zuren. Beide groepen verbindingen reageren met natrium onder waterstofontwikkeling.</w:t>
      </w:r>
    </w:p>
    <w:p w:rsidR="008B306C" w:rsidRPr="00E430B3" w:rsidRDefault="008B306C" w:rsidP="008B306C">
      <w:r w:rsidRPr="00E430B3">
        <w:t>Bij het oplossen van natriumethaanthiolaat in water treedt protolyse (hydrolyse) op, zij het in mindere mate dan bij het oplossen van natriummethanolaat in water.</w:t>
      </w:r>
    </w:p>
    <w:p w:rsidR="008B306C" w:rsidRPr="00E430B3" w:rsidRDefault="008B306C" w:rsidP="008B306C">
      <w:r w:rsidRPr="00E430B3">
        <w:t>Men kan een ether (alkoxyalkaan) bereiden uit een natriumalkanolaat en een halogeenalkaan. Op analoge wijze kan een thio</w:t>
      </w:r>
      <w:r>
        <w:t>ë</w:t>
      </w:r>
      <w:r w:rsidRPr="00E430B3">
        <w:t>ther worden gevormd; zo ontstaat methylthio</w:t>
      </w:r>
      <w:r>
        <w:t>ë</w:t>
      </w:r>
      <w:r w:rsidRPr="00E430B3">
        <w:t>thaan uit natriumethaanthiolaat en monochloormethaan.</w:t>
      </w:r>
    </w:p>
    <w:p w:rsidR="008B306C" w:rsidRPr="00E430B3" w:rsidRDefault="008B306C" w:rsidP="008B306C">
      <w:r w:rsidRPr="00E430B3">
        <w:lastRenderedPageBreak/>
        <w:t>Methylthio</w:t>
      </w:r>
      <w:r>
        <w:t>ë</w:t>
      </w:r>
      <w:r w:rsidRPr="00E430B3">
        <w:t>thaan is een kleurloze vloeistof (smpt</w:t>
      </w:r>
      <w:r>
        <w:t>.</w:t>
      </w:r>
      <w:r w:rsidRPr="00E430B3">
        <w:t xml:space="preserve"> </w:t>
      </w:r>
      <w:r>
        <w:sym w:font="Symbol" w:char="F02D"/>
      </w:r>
      <w:r w:rsidRPr="00E430B3">
        <w:t>106</w:t>
      </w:r>
      <w:r>
        <w:t xml:space="preserve"> </w:t>
      </w:r>
      <w:r w:rsidRPr="00E430B3">
        <w:t>°C, kpt</w:t>
      </w:r>
      <w:r>
        <w:t>.</w:t>
      </w:r>
      <w:r w:rsidRPr="00E430B3">
        <w:t xml:space="preserve"> 67</w:t>
      </w:r>
      <w:r>
        <w:t xml:space="preserve"> </w:t>
      </w:r>
      <w:r w:rsidRPr="00E430B3">
        <w:t>°C), die onoplosbaar is in water maar goed oplosbaar in geconcentreerd zoutzuur en in ethanol.</w:t>
      </w:r>
    </w:p>
    <w:p w:rsidR="008B306C" w:rsidRPr="00E430B3" w:rsidRDefault="008B306C" w:rsidP="008B306C">
      <w:r w:rsidRPr="00E430B3">
        <w:t>Verschillen tussen alkanolen en alkaanthiolen treden bijvoorbeeld op bij de oxidatie. Zo ontstaat</w:t>
      </w:r>
      <w:r>
        <w:t xml:space="preserve"> </w:t>
      </w:r>
      <w:r w:rsidRPr="00E430B3">
        <w:t>uit methanol metha</w:t>
      </w:r>
      <w:r>
        <w:t>n</w:t>
      </w:r>
      <w:r w:rsidRPr="00E430B3">
        <w:t>al,</w:t>
      </w:r>
      <w:r>
        <w:t xml:space="preserve"> </w:t>
      </w:r>
      <w:r w:rsidRPr="00E430B3">
        <w:t>terwijl uit metha</w:t>
      </w:r>
      <w:r>
        <w:t>a</w:t>
      </w:r>
      <w:r w:rsidRPr="00E430B3">
        <w:t>nthiol dimethyldisulfide, CH</w:t>
      </w:r>
      <w:r w:rsidRPr="003D0212">
        <w:rPr>
          <w:vertAlign w:val="subscript"/>
        </w:rPr>
        <w:t>3</w:t>
      </w:r>
      <w:r>
        <w:sym w:font="Symbol" w:char="F02D"/>
      </w:r>
      <w:r w:rsidRPr="00E430B3">
        <w:t>S</w:t>
      </w:r>
      <w:r>
        <w:sym w:font="Symbol" w:char="F02D"/>
      </w:r>
      <w:r w:rsidRPr="00E430B3">
        <w:t>CH</w:t>
      </w:r>
      <w:r w:rsidRPr="003D0212">
        <w:rPr>
          <w:vertAlign w:val="subscript"/>
        </w:rPr>
        <w:t>3</w:t>
      </w:r>
      <w:r w:rsidRPr="00E430B3">
        <w:t>, wordt gevormd.</w:t>
      </w:r>
    </w:p>
    <w:p w:rsidR="008B306C" w:rsidRPr="00E430B3" w:rsidRDefault="008B306C" w:rsidP="008B306C">
      <w:r w:rsidRPr="00E430B3">
        <w:t>Aan deze eigenschap schrijft men de ontkleuring</w:t>
      </w:r>
      <w:r>
        <w:t xml:space="preserve"> v</w:t>
      </w:r>
      <w:r w:rsidRPr="00E430B3">
        <w:t>an een joodoplossing door methaanthiol toe.</w:t>
      </w:r>
    </w:p>
    <w:p w:rsidR="008B306C" w:rsidRPr="00E430B3" w:rsidRDefault="008B306C" w:rsidP="008B306C">
      <w:r w:rsidRPr="00E430B3">
        <w:t>De reactie verloopt kwantitatief, zodat methaanthiol jodometri</w:t>
      </w:r>
      <w:r>
        <w:t>sc</w:t>
      </w:r>
      <w:r w:rsidRPr="00E430B3">
        <w:t>h getitreerd kan worden.</w:t>
      </w:r>
    </w:p>
    <w:p w:rsidR="008B306C" w:rsidRPr="008B306C" w:rsidRDefault="008B306C" w:rsidP="008B306C">
      <w:pPr>
        <w:pStyle w:val="CSElijst"/>
        <w:numPr>
          <w:ilvl w:val="0"/>
          <w:numId w:val="7"/>
        </w:numPr>
        <w:ind w:left="0" w:hanging="567"/>
        <w:rPr>
          <w:lang w:val="nl-NL"/>
        </w:rPr>
      </w:pPr>
      <w:r w:rsidRPr="008B306C">
        <w:rPr>
          <w:lang w:val="nl-NL"/>
        </w:rPr>
        <w:t>Geef de reactievergelijkingen in structuurformules voor</w:t>
      </w:r>
      <w:r w:rsidRPr="008B306C">
        <w:rPr>
          <w:lang w:val="nl-NL"/>
        </w:rPr>
        <w:br/>
        <w:t>- de reactie van ethanol en benzeencarbonzuur</w:t>
      </w:r>
      <w:r w:rsidRPr="008B306C">
        <w:rPr>
          <w:lang w:val="nl-NL"/>
        </w:rPr>
        <w:br/>
        <w:t>- de reactie van ethaanthiol en benzeencarbonzuur</w:t>
      </w:r>
      <w:r w:rsidRPr="008B306C">
        <w:rPr>
          <w:lang w:val="nl-NL"/>
        </w:rPr>
        <w:br/>
        <w:t>- de bereiding van methylthioëthaan.</w:t>
      </w:r>
    </w:p>
    <w:p w:rsidR="008B306C" w:rsidRPr="008B306C" w:rsidRDefault="008B306C" w:rsidP="008B306C">
      <w:pPr>
        <w:pStyle w:val="CSElijst"/>
        <w:numPr>
          <w:ilvl w:val="0"/>
          <w:numId w:val="7"/>
        </w:numPr>
        <w:ind w:left="0" w:hanging="567"/>
        <w:rPr>
          <w:lang w:val="nl-NL"/>
        </w:rPr>
      </w:pPr>
      <w:r w:rsidRPr="008B306C">
        <w:rPr>
          <w:lang w:val="nl-NL"/>
        </w:rPr>
        <w:t>Welke verklaring kun je geven voor het verschil in de mate van protolyse tussen de oplossingen van natriumethanolaat en van natriumethaanthiolaat in water?</w:t>
      </w:r>
    </w:p>
    <w:p w:rsidR="008B306C" w:rsidRPr="008B306C" w:rsidRDefault="008B306C" w:rsidP="008B306C">
      <w:pPr>
        <w:pStyle w:val="CSElijst"/>
        <w:numPr>
          <w:ilvl w:val="0"/>
          <w:numId w:val="7"/>
        </w:numPr>
        <w:ind w:left="0" w:hanging="567"/>
        <w:rPr>
          <w:lang w:val="nl-NL"/>
        </w:rPr>
      </w:pPr>
      <w:r w:rsidRPr="008B306C">
        <w:rPr>
          <w:lang w:val="nl-NL"/>
        </w:rPr>
        <w:t>Licht toe dat de reactie tussen jood en methaanthiol als een redoxreactie kan worden opgevat.</w:t>
      </w:r>
    </w:p>
    <w:p w:rsidR="008B306C" w:rsidRPr="00E430B3" w:rsidRDefault="008B306C" w:rsidP="008B306C">
      <w:r w:rsidRPr="00E430B3">
        <w:t>Een</w:t>
      </w:r>
      <w:r>
        <w:t xml:space="preserve"> </w:t>
      </w:r>
      <w:r w:rsidRPr="00E430B3">
        <w:t>eigenschap van de thio</w:t>
      </w:r>
      <w:r>
        <w:t>ë</w:t>
      </w:r>
      <w:r w:rsidRPr="00E430B3">
        <w:t>thers is, dat ze kunnen reageren met halogeenalkanen onder vorming van zoutachtige stoffen, sulfoniumverbindingen</w:t>
      </w:r>
      <w:r>
        <w:t xml:space="preserve">, </w:t>
      </w:r>
      <w:r w:rsidRPr="00E430B3">
        <w:t xml:space="preserve">die in </w:t>
      </w:r>
      <w:r>
        <w:t>w</w:t>
      </w:r>
      <w:r w:rsidRPr="00E430B3">
        <w:t>ater ioniseren. Zo reageert</w:t>
      </w:r>
      <w:r>
        <w:t xml:space="preserve"> </w:t>
      </w:r>
      <w:r w:rsidRPr="00E430B3">
        <w:t>methylthio</w:t>
      </w:r>
      <w:r>
        <w:t>ë</w:t>
      </w:r>
      <w:r w:rsidRPr="00E430B3">
        <w:t>thaan met 1-joodpropaan als volgt</w:t>
      </w:r>
      <w:r>
        <w:t>:</w:t>
      </w:r>
    </w:p>
    <w:tbl>
      <w:tblPr>
        <w:tblW w:w="0" w:type="auto"/>
        <w:tblLayout w:type="fixed"/>
        <w:tblCellMar>
          <w:left w:w="0" w:type="dxa"/>
          <w:right w:w="0" w:type="dxa"/>
        </w:tblCellMar>
        <w:tblLook w:val="0000" w:firstRow="0" w:lastRow="0" w:firstColumn="0" w:lastColumn="0" w:noHBand="0" w:noVBand="0"/>
      </w:tblPr>
      <w:tblGrid>
        <w:gridCol w:w="4718"/>
        <w:gridCol w:w="479"/>
        <w:gridCol w:w="3025"/>
        <w:gridCol w:w="778"/>
      </w:tblGrid>
      <w:tr w:rsidR="008B306C" w:rsidRPr="00375183" w:rsidTr="001D4EA2">
        <w:trPr>
          <w:cantSplit/>
          <w:trHeight w:hRule="exact" w:val="19"/>
        </w:trPr>
        <w:tc>
          <w:tcPr>
            <w:tcW w:w="4718" w:type="dxa"/>
            <w:tcBorders>
              <w:top w:val="nil"/>
              <w:left w:val="nil"/>
              <w:bottom w:val="nil"/>
              <w:right w:val="nil"/>
            </w:tcBorders>
          </w:tcPr>
          <w:p w:rsidR="008B306C" w:rsidRPr="00E430B3" w:rsidRDefault="008B306C" w:rsidP="001D4EA2"/>
        </w:tc>
        <w:tc>
          <w:tcPr>
            <w:tcW w:w="479" w:type="dxa"/>
            <w:tcBorders>
              <w:top w:val="nil"/>
              <w:left w:val="nil"/>
              <w:bottom w:val="nil"/>
              <w:right w:val="nil"/>
            </w:tcBorders>
          </w:tcPr>
          <w:p w:rsidR="008B306C" w:rsidRPr="00E430B3" w:rsidRDefault="008B306C" w:rsidP="001D4EA2"/>
        </w:tc>
        <w:tc>
          <w:tcPr>
            <w:tcW w:w="3025" w:type="dxa"/>
            <w:tcBorders>
              <w:top w:val="nil"/>
              <w:left w:val="nil"/>
              <w:bottom w:val="nil"/>
              <w:right w:val="nil"/>
            </w:tcBorders>
          </w:tcPr>
          <w:p w:rsidR="008B306C" w:rsidRPr="00E52B0E" w:rsidRDefault="008B306C" w:rsidP="001D4EA2">
            <w:pPr>
              <w:rPr>
                <w:lang w:val="en-US"/>
              </w:rPr>
            </w:pPr>
            <w:r w:rsidRPr="00E52B0E">
              <w:rPr>
                <w:lang w:val="en-US"/>
              </w:rPr>
              <w:t>[c</w:t>
            </w:r>
            <w:r w:rsidRPr="00E52B0E">
              <w:rPr>
                <w:lang w:val="en-US"/>
              </w:rPr>
              <w:tab/>
              <w:t>—CH2 —CH2 —1.—CH —C</w:t>
            </w:r>
          </w:p>
          <w:p w:rsidR="008B306C" w:rsidRPr="00E52B0E" w:rsidRDefault="008B306C" w:rsidP="001D4EA2">
            <w:pPr>
              <w:rPr>
                <w:lang w:val="en-US"/>
              </w:rPr>
            </w:pPr>
            <w:r w:rsidRPr="00E52B0E">
              <w:rPr>
                <w:lang w:val="en-US"/>
              </w:rPr>
              <w:t>1</w:t>
            </w:r>
            <w:r w:rsidRPr="00E52B0E">
              <w:rPr>
                <w:lang w:val="en-US"/>
              </w:rPr>
              <w:br/>
              <w:t>CH3</w:t>
            </w:r>
          </w:p>
        </w:tc>
        <w:tc>
          <w:tcPr>
            <w:tcW w:w="778" w:type="dxa"/>
            <w:tcBorders>
              <w:top w:val="nil"/>
              <w:left w:val="nil"/>
              <w:bottom w:val="nil"/>
              <w:right w:val="nil"/>
            </w:tcBorders>
          </w:tcPr>
          <w:p w:rsidR="008B306C" w:rsidRPr="00E52B0E" w:rsidRDefault="008B306C" w:rsidP="001D4EA2">
            <w:pPr>
              <w:rPr>
                <w:lang w:val="en-US"/>
              </w:rPr>
            </w:pPr>
          </w:p>
        </w:tc>
      </w:tr>
    </w:tbl>
    <w:p w:rsidR="008B306C" w:rsidRDefault="008B306C" w:rsidP="008B306C">
      <w:pPr>
        <w:pStyle w:val="Vergelijking"/>
      </w:pPr>
      <w:r>
        <w:rPr>
          <w:noProof/>
        </w:rPr>
        <w:drawing>
          <wp:inline distT="0" distB="0" distL="0" distR="0" wp14:anchorId="2F6D595F" wp14:editId="110A5B9E">
            <wp:extent cx="4725955" cy="46425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07130" cy="472233"/>
                    </a:xfrm>
                    <a:prstGeom prst="rect">
                      <a:avLst/>
                    </a:prstGeom>
                  </pic:spPr>
                </pic:pic>
              </a:graphicData>
            </a:graphic>
          </wp:inline>
        </w:drawing>
      </w:r>
    </w:p>
    <w:p w:rsidR="008B306C" w:rsidRPr="00E430B3" w:rsidRDefault="008B306C" w:rsidP="008B306C">
      <w:r w:rsidRPr="00E430B3">
        <w:t>Van het hierboven afgebeelde sulfoniumjodide heeft men twee optisch actieve vormen geïsoleerd, namelijk ee</w:t>
      </w:r>
      <w:r>
        <w:t>n l</w:t>
      </w:r>
      <w:r w:rsidRPr="00E430B3">
        <w:t>inksdr</w:t>
      </w:r>
      <w:r>
        <w:t>a</w:t>
      </w:r>
      <w:r w:rsidRPr="00E430B3">
        <w:t>aiende en een rechtsdraaiende, die ook in oplossing stabiel zijn.</w:t>
      </w:r>
    </w:p>
    <w:p w:rsidR="008B306C" w:rsidRPr="008B306C" w:rsidRDefault="008B306C" w:rsidP="008B306C">
      <w:pPr>
        <w:pStyle w:val="CSElijst"/>
        <w:numPr>
          <w:ilvl w:val="0"/>
          <w:numId w:val="7"/>
        </w:numPr>
        <w:ind w:left="0" w:hanging="567"/>
        <w:rPr>
          <w:lang w:val="nl-NL"/>
        </w:rPr>
      </w:pPr>
      <w:r w:rsidRPr="008B306C">
        <w:rPr>
          <w:lang w:val="nl-NL"/>
        </w:rPr>
        <w:t>Verklaar, bijvoorbeeld met behulp van een tekening, het bestaan van twee vormen van het hierboven weergegeven sulfoniumion.</w:t>
      </w:r>
    </w:p>
    <w:p w:rsidR="00BC18B7" w:rsidRDefault="008B306C" w:rsidP="00C85B31">
      <w:pPr>
        <w:pStyle w:val="CSElijst"/>
        <w:numPr>
          <w:ilvl w:val="0"/>
          <w:numId w:val="7"/>
        </w:numPr>
        <w:ind w:left="0" w:hanging="567"/>
      </w:pPr>
      <w:r w:rsidRPr="008B306C">
        <w:rPr>
          <w:lang w:val="nl-NL"/>
        </w:rPr>
        <w:t>Hoe kun je verklaren dat methylthioëthaan niet in water oplost, maar wel in geconcentreerd zoutzuur?</w:t>
      </w:r>
    </w:p>
    <w:sectPr w:rsidR="00BC18B7" w:rsidSect="00375183">
      <w:footerReference w:type="default" r:id="rId8"/>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546" w:rsidRDefault="00816546" w:rsidP="008B306C">
      <w:r>
        <w:separator/>
      </w:r>
    </w:p>
  </w:endnote>
  <w:endnote w:type="continuationSeparator" w:id="0">
    <w:p w:rsidR="00816546" w:rsidRDefault="00816546" w:rsidP="008B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9798781"/>
      <w:docPartObj>
        <w:docPartGallery w:val="Page Numbers (Bottom of Page)"/>
        <w:docPartUnique/>
      </w:docPartObj>
    </w:sdtPr>
    <w:sdtEndPr/>
    <w:sdtContent>
      <w:p w:rsidR="00375183" w:rsidRPr="00375183" w:rsidRDefault="00375183" w:rsidP="0037019A">
        <w:pPr>
          <w:pStyle w:val="Voettekst"/>
        </w:pPr>
        <w:r w:rsidRPr="00375183">
          <w:t>Sk-VWO 1974-I</w:t>
        </w:r>
        <w:r w:rsidRPr="00280885">
          <w:t> </w:t>
        </w:r>
        <w:r w:rsidR="00393960">
          <w:t>opgaven</w:t>
        </w:r>
        <w:r w:rsidR="00C85B31" w:rsidRPr="00375183">
          <w:t xml:space="preserve"> </w:t>
        </w:r>
        <w:r w:rsidRPr="00375183">
          <w:t>_PdG, juli 2017</w:t>
        </w:r>
        <w:r w:rsidRPr="00375183">
          <w:tab/>
        </w:r>
        <w:r w:rsidRPr="00280885">
          <w:fldChar w:fldCharType="begin"/>
        </w:r>
        <w:r w:rsidRPr="00375183">
          <w:instrText>PAGE   \* MERGEFORMAT</w:instrText>
        </w:r>
        <w:r w:rsidRPr="00280885">
          <w:fldChar w:fldCharType="separate"/>
        </w:r>
        <w:r w:rsidR="00393960">
          <w:rPr>
            <w:noProof/>
          </w:rPr>
          <w:t>1</w:t>
        </w:r>
        <w:r w:rsidRPr="0028088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546" w:rsidRDefault="00816546" w:rsidP="008B306C">
      <w:r>
        <w:separator/>
      </w:r>
    </w:p>
  </w:footnote>
  <w:footnote w:type="continuationSeparator" w:id="0">
    <w:p w:rsidR="00816546" w:rsidRDefault="00816546" w:rsidP="008B306C">
      <w:r>
        <w:continuationSeparator/>
      </w:r>
    </w:p>
  </w:footnote>
  <w:footnote w:id="1">
    <w:p w:rsidR="008B306C" w:rsidRDefault="008B306C" w:rsidP="008B306C">
      <w:pPr>
        <w:pStyle w:val="Voetnoottekst"/>
      </w:pPr>
      <w:r>
        <w:rPr>
          <w:rStyle w:val="Voetnootmarkering"/>
        </w:rPr>
        <w:footnoteRef/>
      </w:r>
      <w:r>
        <w:t xml:space="preserve"> </w:t>
      </w:r>
      <w:r w:rsidRPr="00E430B3">
        <w:t>Met (g) wordt aangegeven dat de betreffende stof gasvormig 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4"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9006619"/>
    <w:multiLevelType w:val="singleLevel"/>
    <w:tmpl w:val="6F92CA6A"/>
    <w:lvl w:ilvl="0">
      <w:start w:val="1"/>
      <w:numFmt w:val="decimal"/>
      <w:lvlText w:val="█ Opgave %1"/>
      <w:lvlJc w:val="center"/>
      <w:pPr>
        <w:tabs>
          <w:tab w:val="num" w:pos="903"/>
        </w:tabs>
        <w:ind w:left="903" w:hanging="903"/>
      </w:pPr>
      <w:rPr>
        <w:rFonts w:ascii="Times New Roman" w:hAnsi="Times New Roman" w:hint="default"/>
        <w:b/>
        <w:i w:val="0"/>
        <w:sz w:val="28"/>
      </w:rPr>
    </w:lvl>
  </w:abstractNum>
  <w:abstractNum w:abstractNumId="7"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8"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4"/>
  </w:num>
  <w:num w:numId="5">
    <w:abstractNumId w:val="4"/>
  </w:num>
  <w:num w:numId="6">
    <w:abstractNumId w:val="4"/>
  </w:num>
  <w:num w:numId="7">
    <w:abstractNumId w:val="9"/>
  </w:num>
  <w:num w:numId="8">
    <w:abstractNumId w:val="9"/>
  </w:num>
  <w:num w:numId="9">
    <w:abstractNumId w:val="9"/>
  </w:num>
  <w:num w:numId="10">
    <w:abstractNumId w:val="9"/>
  </w:num>
  <w:num w:numId="11">
    <w:abstractNumId w:val="9"/>
  </w:num>
  <w:num w:numId="12">
    <w:abstractNumId w:val="3"/>
  </w:num>
  <w:num w:numId="13">
    <w:abstractNumId w:val="8"/>
  </w:num>
  <w:num w:numId="14">
    <w:abstractNumId w:val="3"/>
  </w:num>
  <w:num w:numId="15">
    <w:abstractNumId w:val="0"/>
  </w:num>
  <w:num w:numId="16">
    <w:abstractNumId w:val="7"/>
  </w:num>
  <w:num w:numId="17">
    <w:abstractNumId w:val="5"/>
  </w:num>
  <w:num w:numId="18">
    <w:abstractNumId w:val="9"/>
    <w:lvlOverride w:ilvl="0">
      <w:startOverride w:val="1"/>
    </w:lvlOverride>
  </w:num>
  <w:num w:numId="19">
    <w:abstractNumId w:val="6"/>
  </w:num>
  <w:num w:numId="20">
    <w:abstractNumId w:val="9"/>
    <w:lvlOverride w:ilvl="0">
      <w:startOverride w:val="20"/>
    </w:lvlOverride>
  </w:num>
  <w:num w:numId="21">
    <w:abstractNumId w:val="9"/>
    <w:lvlOverride w:ilvl="0">
      <w:startOverride w:val="2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06C"/>
    <w:rsid w:val="000016CD"/>
    <w:rsid w:val="00095AFC"/>
    <w:rsid w:val="000C024B"/>
    <w:rsid w:val="002B24C5"/>
    <w:rsid w:val="00300992"/>
    <w:rsid w:val="00331832"/>
    <w:rsid w:val="00375183"/>
    <w:rsid w:val="00393960"/>
    <w:rsid w:val="0040277F"/>
    <w:rsid w:val="00407D6E"/>
    <w:rsid w:val="00443364"/>
    <w:rsid w:val="00485095"/>
    <w:rsid w:val="004A0569"/>
    <w:rsid w:val="005B4D14"/>
    <w:rsid w:val="00672ACD"/>
    <w:rsid w:val="007040CC"/>
    <w:rsid w:val="00710734"/>
    <w:rsid w:val="007D0E50"/>
    <w:rsid w:val="00816546"/>
    <w:rsid w:val="00826564"/>
    <w:rsid w:val="008337B7"/>
    <w:rsid w:val="0086759D"/>
    <w:rsid w:val="0089555E"/>
    <w:rsid w:val="008B306C"/>
    <w:rsid w:val="008B602B"/>
    <w:rsid w:val="0094045F"/>
    <w:rsid w:val="009C361C"/>
    <w:rsid w:val="009D50CF"/>
    <w:rsid w:val="00A35F14"/>
    <w:rsid w:val="00AA694C"/>
    <w:rsid w:val="00B26C89"/>
    <w:rsid w:val="00B27E20"/>
    <w:rsid w:val="00B415CC"/>
    <w:rsid w:val="00BA5F2B"/>
    <w:rsid w:val="00BC0577"/>
    <w:rsid w:val="00BC0CB8"/>
    <w:rsid w:val="00BC18B7"/>
    <w:rsid w:val="00BC7B1C"/>
    <w:rsid w:val="00C057EA"/>
    <w:rsid w:val="00C72BB6"/>
    <w:rsid w:val="00C85B31"/>
    <w:rsid w:val="00CC42EC"/>
    <w:rsid w:val="00D03A11"/>
    <w:rsid w:val="00D25BCD"/>
    <w:rsid w:val="00DB311A"/>
    <w:rsid w:val="00DF3E7C"/>
    <w:rsid w:val="00E51928"/>
    <w:rsid w:val="00EC42C6"/>
    <w:rsid w:val="00EE58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AF00A"/>
  <w15:chartTrackingRefBased/>
  <w15:docId w15:val="{4418A983-8355-4D9F-8C6F-4467E25B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B306C"/>
  </w:style>
  <w:style w:type="paragraph" w:styleId="Kop1">
    <w:name w:val="heading 1"/>
    <w:basedOn w:val="Standaard"/>
    <w:next w:val="Standaard"/>
    <w:link w:val="Kop1Char"/>
    <w:uiPriority w:val="9"/>
    <w:qFormat/>
    <w:rsid w:val="008B306C"/>
    <w:pPr>
      <w:keepNext/>
      <w:keepLines/>
      <w:spacing w:before="240"/>
      <w:outlineLvl w:val="0"/>
    </w:pPr>
    <w:rPr>
      <w:rFonts w:eastAsiaTheme="majorEastAsia"/>
      <w:sz w:val="32"/>
      <w:szCs w:val="32"/>
    </w:rPr>
  </w:style>
  <w:style w:type="paragraph" w:styleId="Kop2">
    <w:name w:val="heading 2"/>
    <w:basedOn w:val="Standaard"/>
    <w:next w:val="Standaard"/>
    <w:link w:val="Kop2Char"/>
    <w:uiPriority w:val="9"/>
    <w:qFormat/>
    <w:rsid w:val="008B306C"/>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8B306C"/>
    <w:rPr>
      <w:rFonts w:eastAsiaTheme="majorEastAsia"/>
      <w:sz w:val="32"/>
      <w:szCs w:val="32"/>
    </w:rPr>
  </w:style>
  <w:style w:type="character" w:customStyle="1" w:styleId="Kop2Char">
    <w:name w:val="Kop 2 Char"/>
    <w:basedOn w:val="Standaardalinea-lettertype"/>
    <w:link w:val="Kop2"/>
    <w:uiPriority w:val="9"/>
    <w:rsid w:val="008B306C"/>
    <w:rPr>
      <w:rFonts w:ascii="Arial" w:eastAsia="Times New Roman" w:hAnsi="Arial" w:cs="Arial"/>
      <w:b/>
      <w:bCs/>
      <w:i/>
      <w:iCs/>
      <w:sz w:val="28"/>
      <w:szCs w:val="28"/>
      <w:lang w:eastAsia="nl-NL"/>
    </w:rPr>
  </w:style>
  <w:style w:type="paragraph" w:styleId="Voetnoottekst">
    <w:name w:val="footnote text"/>
    <w:basedOn w:val="Standaard"/>
    <w:link w:val="VoetnoottekstChar"/>
    <w:semiHidden/>
    <w:unhideWhenUsed/>
    <w:rsid w:val="008B306C"/>
    <w:rPr>
      <w:sz w:val="20"/>
      <w:szCs w:val="20"/>
    </w:rPr>
  </w:style>
  <w:style w:type="character" w:customStyle="1" w:styleId="VoetnoottekstChar">
    <w:name w:val="Voetnoottekst Char"/>
    <w:basedOn w:val="Standaardalinea-lettertype"/>
    <w:link w:val="Voetnoottekst"/>
    <w:semiHidden/>
    <w:rsid w:val="008B306C"/>
    <w:rPr>
      <w:sz w:val="20"/>
      <w:szCs w:val="20"/>
    </w:rPr>
  </w:style>
  <w:style w:type="character" w:styleId="Voetnootmarkering">
    <w:name w:val="footnote reference"/>
    <w:basedOn w:val="Standaardalinea-lettertype"/>
    <w:semiHidden/>
    <w:unhideWhenUsed/>
    <w:rsid w:val="008B306C"/>
    <w:rPr>
      <w:vertAlign w:val="superscript"/>
    </w:rPr>
  </w:style>
  <w:style w:type="paragraph" w:styleId="Bijschrift">
    <w:name w:val="caption"/>
    <w:basedOn w:val="Standaard"/>
    <w:next w:val="Standaard"/>
    <w:uiPriority w:val="35"/>
    <w:qFormat/>
    <w:rsid w:val="008B306C"/>
    <w:pPr>
      <w:autoSpaceDE w:val="0"/>
      <w:autoSpaceDN w:val="0"/>
      <w:adjustRightInd w:val="0"/>
      <w:spacing w:before="120"/>
    </w:pPr>
    <w:rPr>
      <w:rFonts w:eastAsia="Times New Roman"/>
      <w:b/>
      <w:bCs/>
      <w:i/>
      <w:sz w:val="18"/>
      <w:szCs w:val="20"/>
      <w:lang w:eastAsia="nl-NL"/>
    </w:rPr>
  </w:style>
  <w:style w:type="paragraph" w:styleId="Koptekst">
    <w:name w:val="header"/>
    <w:basedOn w:val="Standaard"/>
    <w:link w:val="KoptekstChar"/>
    <w:uiPriority w:val="99"/>
    <w:unhideWhenUsed/>
    <w:rsid w:val="00375183"/>
    <w:pPr>
      <w:tabs>
        <w:tab w:val="center" w:pos="4536"/>
        <w:tab w:val="right" w:pos="9072"/>
      </w:tabs>
    </w:pPr>
  </w:style>
  <w:style w:type="character" w:customStyle="1" w:styleId="KoptekstChar">
    <w:name w:val="Koptekst Char"/>
    <w:basedOn w:val="Standaardalinea-lettertype"/>
    <w:link w:val="Koptekst"/>
    <w:uiPriority w:val="99"/>
    <w:rsid w:val="00375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1613</Words>
  <Characters>8875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3</cp:revision>
  <dcterms:created xsi:type="dcterms:W3CDTF">2017-10-17T20:03:00Z</dcterms:created>
  <dcterms:modified xsi:type="dcterms:W3CDTF">2017-10-17T20:05:00Z</dcterms:modified>
</cp:coreProperties>
</file>