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59" w:rsidRPr="007D12F1" w:rsidRDefault="00927959" w:rsidP="00927959">
      <w:pPr>
        <w:kinsoku w:val="0"/>
        <w:overflowPunct w:val="0"/>
        <w:textAlignment w:val="baseline"/>
        <w:rPr>
          <w:bCs/>
        </w:rPr>
      </w:pPr>
      <w:r w:rsidRPr="007D12F1">
        <w:rPr>
          <w:bCs/>
        </w:rPr>
        <w:t>EXAMEN SCHEIKUNDE VWO 197</w:t>
      </w:r>
      <w:r>
        <w:rPr>
          <w:bCs/>
        </w:rPr>
        <w:t>4, TWEEDE</w:t>
      </w:r>
      <w:r w:rsidRPr="007D12F1">
        <w:rPr>
          <w:bCs/>
        </w:rPr>
        <w:t xml:space="preserve"> TIJDVAK</w:t>
      </w:r>
      <w:r>
        <w:rPr>
          <w:bCs/>
        </w:rPr>
        <w:t>, opgaven</w:t>
      </w:r>
    </w:p>
    <w:bookmarkStart w:id="0" w:name="_Toc490827156"/>
    <w:p w:rsidR="00927959" w:rsidRPr="00E430B3" w:rsidRDefault="00927959" w:rsidP="00927959">
      <w:pPr>
        <w:pStyle w:val="Kop2"/>
      </w:pPr>
      <w:r w:rsidRPr="0018005E">
        <w:rPr>
          <w:noProof/>
        </w:rPr>
        <mc:AlternateContent>
          <mc:Choice Requires="wps">
            <w:drawing>
              <wp:anchor distT="0" distB="0" distL="0" distR="0" simplePos="0" relativeHeight="251660288" behindDoc="0" locked="0" layoutInCell="0" allowOverlap="1" wp14:anchorId="5A108919" wp14:editId="47687A05">
                <wp:simplePos x="0" y="0"/>
                <wp:positionH relativeFrom="margin">
                  <wp:posOffset>-323661</wp:posOffset>
                </wp:positionH>
                <wp:positionV relativeFrom="paragraph">
                  <wp:posOffset>380365</wp:posOffset>
                </wp:positionV>
                <wp:extent cx="6172835" cy="0"/>
                <wp:effectExtent l="0" t="19050" r="56515" b="38100"/>
                <wp:wrapSquare wrapText="bothSides"/>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3F3F"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5pt,29.95pt" to="460.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lX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" o:allowincell="f" strokecolor="silver" strokeweight="4.8pt">
                <w10:wrap type="square" anchorx="margin"/>
              </v:line>
            </w:pict>
          </mc:Fallback>
        </mc:AlternateContent>
      </w:r>
      <w:r>
        <w:t>Uitschudden</w:t>
      </w:r>
      <w:r>
        <w:tab/>
        <w:t>1974-II(I)</w:t>
      </w:r>
      <w:bookmarkEnd w:id="0"/>
    </w:p>
    <w:p w:rsidR="00927959" w:rsidRPr="00E430B3" w:rsidRDefault="00927959" w:rsidP="00927959">
      <w:r w:rsidRPr="00E430B3">
        <w:t>Dierlijke en plantaardige oliën bestaan voornamelijk uit esters van propaan</w:t>
      </w:r>
      <w:r>
        <w:t>-</w:t>
      </w:r>
      <w:r w:rsidRPr="00E430B3">
        <w:t>1,2,3-triol (glycerol) en verzadigde en/of onverzadigde hogere carbonzuren. Voor oliën die als voedingsstoffen worden ge</w:t>
      </w:r>
      <w:r w:rsidRPr="00E430B3">
        <w:softHyphen/>
        <w:t>bruikt, is het van belang aantal en plaats van de dubbele bindingen te kennen. Onderzoek daarnaar kan pas plaatsvinden als de carbonzuren zo volledig mogelijk uit de esters zijn vrijgemaakt en van elkaar zijn gescheiden. Daartoe wordt de olie verzeept met een oplossing van kaliumhydroxide in ethanol. Men gebruikt ethanol als oplosmiddel, omdat zowel de olie als het kaliumhydroxide hierin goed</w:t>
      </w:r>
      <w:r>
        <w:t xml:space="preserve"> </w:t>
      </w:r>
      <w:r w:rsidRPr="00E430B3">
        <w:t>oplost. Vervolgens wordt de ethanol afgedestilleerd en wordt een geringe overmaat verdund zwavelzuur toegevoegd. Dan wordt de oplossing met ethoxyethaan (ether) geschud. Na het schudden vormen zich twee lagen.</w:t>
      </w:r>
    </w:p>
    <w:p w:rsidR="00927959" w:rsidRPr="00927959" w:rsidRDefault="00927959" w:rsidP="00927959">
      <w:pPr>
        <w:pStyle w:val="CSElijst"/>
        <w:numPr>
          <w:ilvl w:val="0"/>
          <w:numId w:val="19"/>
        </w:numPr>
        <w:ind w:left="0" w:hanging="567"/>
        <w:rPr>
          <w:lang w:val="nl-NL"/>
        </w:rPr>
      </w:pPr>
      <w:r w:rsidRPr="00927959">
        <w:rPr>
          <w:lang w:val="nl-NL"/>
        </w:rPr>
        <w:t>Geef de reactievergelijking voor de bovenbeschreven verzeping van een triglyceride, met behulp van structuurformules.</w:t>
      </w:r>
    </w:p>
    <w:p w:rsidR="00927959" w:rsidRPr="00927959" w:rsidRDefault="00927959" w:rsidP="00927959">
      <w:pPr>
        <w:pStyle w:val="CSElijst"/>
        <w:numPr>
          <w:ilvl w:val="0"/>
          <w:numId w:val="7"/>
        </w:numPr>
        <w:ind w:left="0" w:hanging="567"/>
        <w:rPr>
          <w:lang w:val="nl-NL"/>
        </w:rPr>
      </w:pPr>
      <w:r w:rsidRPr="00927959">
        <w:rPr>
          <w:lang w:val="nl-NL"/>
        </w:rPr>
        <w:t>Geef een reden waarom men de ethanol afdestilleert.</w:t>
      </w:r>
    </w:p>
    <w:p w:rsidR="00927959" w:rsidRPr="00E430B3" w:rsidRDefault="00927959" w:rsidP="00927959">
      <w:pPr>
        <w:pStyle w:val="CSElijst"/>
        <w:numPr>
          <w:ilvl w:val="0"/>
          <w:numId w:val="7"/>
        </w:numPr>
        <w:ind w:left="0" w:hanging="567"/>
      </w:pPr>
      <w:r w:rsidRPr="00927959">
        <w:rPr>
          <w:lang w:val="nl-NL"/>
        </w:rPr>
        <w:t xml:space="preserve">Welke stoffen bevinden zich na het schudden voornamelijk in de etherlaag? </w:t>
      </w:r>
      <w:r w:rsidRPr="00E430B3">
        <w:t>Licht je antwoord toe.</w:t>
      </w:r>
    </w:p>
    <w:p w:rsidR="00927959" w:rsidRPr="00E430B3" w:rsidRDefault="00927959" w:rsidP="00927959">
      <w:pPr>
        <w:pStyle w:val="CSElijst"/>
        <w:numPr>
          <w:ilvl w:val="0"/>
          <w:numId w:val="7"/>
        </w:numPr>
        <w:ind w:left="0" w:hanging="567"/>
      </w:pPr>
      <w:r w:rsidRPr="00927959">
        <w:rPr>
          <w:lang w:val="nl-NL"/>
        </w:rPr>
        <w:t xml:space="preserve">Welke stoffen bevinden zich na het schudden voornamelijk in de andere vloeistoflaag? </w:t>
      </w:r>
      <w:r w:rsidRPr="00E430B3">
        <w:t>Licht je antwoord toe.</w:t>
      </w:r>
    </w:p>
    <w:p w:rsidR="00927959" w:rsidRPr="00E430B3" w:rsidRDefault="00927959" w:rsidP="00927959">
      <w:r w:rsidRPr="00E430B3">
        <w:t>Na het scheiden van de beide vloeistoflagen wordt het oplosmiddel van de carbonzuren afgedestilleerd. Door verschillende bewerkingen worden vervolgens de carbonzuren volledig van elkaar gescheiden.</w:t>
      </w:r>
    </w:p>
    <w:p w:rsidR="00927959" w:rsidRPr="00E430B3" w:rsidRDefault="00927959" w:rsidP="00927959">
      <w:r w:rsidRPr="00E430B3">
        <w:t>Voor het onderzoek naar aantal en plaats van de dubbele bindingen in een onverzadigde verbinding oxideert men deze met ozon in zuur milieu.</w:t>
      </w:r>
    </w:p>
    <w:p w:rsidR="00927959" w:rsidRPr="00E430B3" w:rsidRDefault="00927959" w:rsidP="00927959">
      <w:r w:rsidRPr="00E430B3">
        <w:t>Daarbij worden de koolstofketens op de plaats van de dubbele bindingen verbroken. Analyse van de ontstane producten geeft inzicht in aantal en plaats van de dubbele bindingen. Zo geeft bijvoorbeeld oxidatie van een alkeen met formule C</w:t>
      </w:r>
      <w:r w:rsidRPr="006A62EA">
        <w:rPr>
          <w:vertAlign w:val="subscript"/>
        </w:rPr>
        <w:t>15</w:t>
      </w:r>
      <w:r w:rsidRPr="00E430B3">
        <w:t>H</w:t>
      </w:r>
      <w:r w:rsidRPr="006A62EA">
        <w:rPr>
          <w:vertAlign w:val="subscript"/>
        </w:rPr>
        <w:t>30</w:t>
      </w:r>
      <w:r w:rsidRPr="00E430B3">
        <w:t xml:space="preserve"> een reactieproduct waarin </w:t>
      </w:r>
      <w:r>
        <w:t>octaan</w:t>
      </w:r>
      <w:r w:rsidRPr="00E430B3">
        <w:t>zuur</w:t>
      </w:r>
      <w:r>
        <w:t xml:space="preserve"> </w:t>
      </w:r>
      <w:r w:rsidRPr="00E430B3">
        <w:t xml:space="preserve">en </w:t>
      </w:r>
      <w:r>
        <w:t>heptaan</w:t>
      </w:r>
      <w:r w:rsidRPr="00E430B3">
        <w:t>zuur kunnen worden aangetoond.</w:t>
      </w:r>
    </w:p>
    <w:p w:rsidR="00927959" w:rsidRPr="00927959" w:rsidRDefault="00927959" w:rsidP="00927959">
      <w:pPr>
        <w:pStyle w:val="CSElijst"/>
        <w:numPr>
          <w:ilvl w:val="0"/>
          <w:numId w:val="7"/>
        </w:numPr>
        <w:ind w:left="0" w:hanging="567"/>
        <w:rPr>
          <w:lang w:val="nl-NL"/>
        </w:rPr>
      </w:pPr>
      <w:r w:rsidRPr="00927959">
        <w:rPr>
          <w:lang w:val="nl-NL"/>
        </w:rPr>
        <w:t>Beredeneer wat de structuurformule van dit alkeen op grond hiervan moet zijn.</w:t>
      </w:r>
    </w:p>
    <w:p w:rsidR="00927959" w:rsidRPr="00E430B3" w:rsidRDefault="00927959" w:rsidP="00927959">
      <w:r w:rsidRPr="00E430B3">
        <w:t>Bij krachtige oxidatie van linolzuur C</w:t>
      </w:r>
      <w:r w:rsidRPr="006A62EA">
        <w:rPr>
          <w:vertAlign w:val="subscript"/>
        </w:rPr>
        <w:t>18</w:t>
      </w:r>
      <w:r w:rsidRPr="00E430B3">
        <w:t>H</w:t>
      </w:r>
      <w:r w:rsidRPr="006A62EA">
        <w:rPr>
          <w:vertAlign w:val="subscript"/>
        </w:rPr>
        <w:t>32</w:t>
      </w:r>
      <w:r>
        <w:t>O</w:t>
      </w:r>
      <w:r w:rsidRPr="006A62EA">
        <w:rPr>
          <w:vertAlign w:val="subscript"/>
        </w:rPr>
        <w:t>2</w:t>
      </w:r>
      <w:r w:rsidRPr="00E430B3">
        <w:t xml:space="preserve"> in zuur milieu ontstaan </w:t>
      </w:r>
      <w:r>
        <w:t>nonaandi</w:t>
      </w:r>
      <w:r w:rsidRPr="00E430B3">
        <w:t>zuur,</w:t>
      </w:r>
      <w:r>
        <w:t xml:space="preserve"> propaan</w:t>
      </w:r>
      <w:r w:rsidRPr="00E430B3">
        <w:t xml:space="preserve">dizuur en </w:t>
      </w:r>
      <w:r>
        <w:t>hexaan</w:t>
      </w:r>
      <w:r w:rsidRPr="00E430B3">
        <w:t>zuur.</w:t>
      </w:r>
    </w:p>
    <w:p w:rsidR="00927959" w:rsidRPr="00E430B3" w:rsidRDefault="00927959" w:rsidP="00927959">
      <w:pPr>
        <w:pStyle w:val="CSElijst"/>
        <w:numPr>
          <w:ilvl w:val="0"/>
          <w:numId w:val="7"/>
        </w:numPr>
        <w:ind w:left="0" w:hanging="567"/>
      </w:pPr>
      <w:r w:rsidRPr="00927959">
        <w:rPr>
          <w:lang w:val="nl-NL"/>
        </w:rPr>
        <w:t xml:space="preserve">Beredeneer welke structuurformules op grond van deze gegevens voor linolzuur mogelijk zijn. </w:t>
      </w:r>
      <w:r w:rsidRPr="00E430B3">
        <w:t xml:space="preserve">(Hierbij kan </w:t>
      </w:r>
      <w:r w:rsidRPr="006A62EA">
        <w:rPr>
          <w:i/>
        </w:rPr>
        <w:t>cis-trans</w:t>
      </w:r>
      <w:r w:rsidRPr="00E430B3">
        <w:t>isomerie buiten beschouwing worden gelaten.)</w:t>
      </w:r>
    </w:p>
    <w:bookmarkStart w:id="1" w:name="_Toc490827157"/>
    <w:p w:rsidR="00927959" w:rsidRPr="00E430B3" w:rsidRDefault="00927959" w:rsidP="00927959">
      <w:pPr>
        <w:pStyle w:val="Kop2"/>
      </w:pPr>
      <w:r w:rsidRPr="0018005E">
        <w:rPr>
          <w:noProof/>
        </w:rPr>
        <mc:AlternateContent>
          <mc:Choice Requires="wps">
            <w:drawing>
              <wp:anchor distT="0" distB="0" distL="0" distR="0" simplePos="0" relativeHeight="251661312" behindDoc="0" locked="0" layoutInCell="0" allowOverlap="1" wp14:anchorId="0E1DE7EA" wp14:editId="2C56A42C">
                <wp:simplePos x="0" y="0"/>
                <wp:positionH relativeFrom="margin">
                  <wp:posOffset>-350956</wp:posOffset>
                </wp:positionH>
                <wp:positionV relativeFrom="paragraph">
                  <wp:posOffset>335280</wp:posOffset>
                </wp:positionV>
                <wp:extent cx="6172835" cy="0"/>
                <wp:effectExtent l="0" t="19050" r="56515" b="38100"/>
                <wp:wrapSquare wrapText="bothSides"/>
                <wp:docPr id="3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0742"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7.65pt,26.4pt" to="458.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S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a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" o:allowincell="f" strokecolor="silver" strokeweight="4.8pt">
                <w10:wrap type="square" anchorx="margin"/>
              </v:line>
            </w:pict>
          </mc:Fallback>
        </mc:AlternateContent>
      </w:r>
      <w:r>
        <w:t>Snelheid en oppervlak</w:t>
      </w:r>
      <w:r>
        <w:tab/>
        <w:t>1974-II(II)</w:t>
      </w:r>
      <w:bookmarkEnd w:id="1"/>
    </w:p>
    <w:p w:rsidR="00927959" w:rsidRPr="00E430B3" w:rsidRDefault="00927959" w:rsidP="00927959">
      <w:r w:rsidRPr="00E430B3">
        <w:t>Men verhit een mengsel van 0,40 mol stikstofmonoxide en 0,20 mol waterstof tot 800</w:t>
      </w:r>
      <w:r>
        <w:t xml:space="preserve"> </w:t>
      </w:r>
      <w:r w:rsidRPr="00E430B3">
        <w:t>°C. Bij deze temperatuur kunnen stikstofmonoxide en waterstof reageren tot stikstof en waterdamp.</w:t>
      </w:r>
    </w:p>
    <w:p w:rsidR="00927959" w:rsidRPr="00927959" w:rsidRDefault="00927959" w:rsidP="00927959">
      <w:pPr>
        <w:pStyle w:val="CSElijst"/>
        <w:numPr>
          <w:ilvl w:val="0"/>
          <w:numId w:val="7"/>
        </w:numPr>
        <w:ind w:left="0" w:hanging="567"/>
        <w:rPr>
          <w:lang w:val="nl-NL"/>
        </w:rPr>
      </w:pPr>
      <w:r w:rsidRPr="00927959">
        <w:rPr>
          <w:lang w:val="nl-NL"/>
        </w:rPr>
        <w:t>Geef de vergelijking voor deze reactie.</w:t>
      </w:r>
    </w:p>
    <w:p w:rsidR="00927959" w:rsidRPr="00E430B3" w:rsidRDefault="00927959" w:rsidP="00927959">
      <w:r w:rsidRPr="00E430B3">
        <w:t xml:space="preserve">Op tijdstip </w:t>
      </w:r>
      <w:r w:rsidRPr="006A62EA">
        <w:rPr>
          <w:i/>
        </w:rPr>
        <w:t>t</w:t>
      </w:r>
      <w:r>
        <w:rPr>
          <w:vertAlign w:val="subscript"/>
        </w:rPr>
        <w:t>1</w:t>
      </w:r>
      <w:r w:rsidRPr="00E430B3">
        <w:t xml:space="preserve"> is nog de helft van de oorspronkelijke hoeveelheid waterstof over.</w:t>
      </w:r>
    </w:p>
    <w:p w:rsidR="00927959" w:rsidRPr="00927959" w:rsidRDefault="00927959" w:rsidP="00927959">
      <w:pPr>
        <w:pStyle w:val="CSElijst"/>
        <w:numPr>
          <w:ilvl w:val="0"/>
          <w:numId w:val="7"/>
        </w:numPr>
        <w:ind w:left="0" w:hanging="567"/>
        <w:rPr>
          <w:lang w:val="nl-NL"/>
        </w:rPr>
      </w:pPr>
      <w:r w:rsidRPr="00927959">
        <w:rPr>
          <w:lang w:val="nl-NL"/>
        </w:rPr>
        <w:t>Bereken de hoeveelheden van de andere stoffen die op dat moment aanwezig zijn.</w:t>
      </w:r>
    </w:p>
    <w:p w:rsidR="00927959" w:rsidRDefault="00927959" w:rsidP="00927959">
      <w:r>
        <w:br w:type="page"/>
      </w:r>
    </w:p>
    <w:p w:rsidR="00927959" w:rsidRDefault="00927959" w:rsidP="00927959">
      <w:r w:rsidRPr="00E430B3">
        <w:lastRenderedPageBreak/>
        <w:t xml:space="preserve">Figuur 1 geeft aan hoe de hoeveelheid waterstof verandert als functie van de tijd. Het tijdstip </w:t>
      </w:r>
      <w:r w:rsidRPr="006A62EA">
        <w:rPr>
          <w:i/>
        </w:rPr>
        <w:t>t</w:t>
      </w:r>
      <w:r>
        <w:rPr>
          <w:vertAlign w:val="subscript"/>
        </w:rPr>
        <w:t>0</w:t>
      </w:r>
      <w:r w:rsidRPr="00E430B3">
        <w:t xml:space="preserve"> geeft het begin van de reactie aan.</w:t>
      </w:r>
    </w:p>
    <w:p w:rsidR="00927959" w:rsidRPr="00574BE2" w:rsidRDefault="00927959" w:rsidP="00927959">
      <w:pPr>
        <w:pStyle w:val="Bijschrift"/>
      </w:pPr>
      <w:r w:rsidRPr="00574BE2">
        <w:t>figuur 1</w:t>
      </w:r>
    </w:p>
    <w:p w:rsidR="00927959" w:rsidRPr="00E430B3" w:rsidRDefault="00927959" w:rsidP="00927959">
      <w:r>
        <w:rPr>
          <w:noProof/>
        </w:rPr>
        <w:drawing>
          <wp:inline distT="0" distB="0" distL="0" distR="0" wp14:anchorId="12E4ED40" wp14:editId="736E6BBE">
            <wp:extent cx="2085392" cy="1046304"/>
            <wp:effectExtent l="0" t="0" r="0" b="190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485" cy="1059396"/>
                    </a:xfrm>
                    <a:prstGeom prst="rect">
                      <a:avLst/>
                    </a:prstGeom>
                    <a:noFill/>
                    <a:ln>
                      <a:noFill/>
                    </a:ln>
                  </pic:spPr>
                </pic:pic>
              </a:graphicData>
            </a:graphic>
          </wp:inline>
        </w:drawing>
      </w:r>
    </w:p>
    <w:p w:rsidR="00927959" w:rsidRPr="00927959" w:rsidRDefault="00927959" w:rsidP="00927959">
      <w:pPr>
        <w:pStyle w:val="CSElijst"/>
        <w:numPr>
          <w:ilvl w:val="0"/>
          <w:numId w:val="7"/>
        </w:numPr>
        <w:ind w:left="0" w:hanging="567"/>
        <w:rPr>
          <w:lang w:val="nl-NL"/>
        </w:rPr>
      </w:pPr>
      <w:r w:rsidRPr="00927959">
        <w:rPr>
          <w:lang w:val="nl-NL"/>
        </w:rPr>
        <w:t xml:space="preserve">Teken figuur 1 na op dezelfde grootte en geef hierin het tijdstip </w:t>
      </w:r>
      <w:r w:rsidRPr="00927959">
        <w:rPr>
          <w:i/>
          <w:lang w:val="nl-NL"/>
        </w:rPr>
        <w:t>t</w:t>
      </w:r>
      <w:r w:rsidRPr="00927959">
        <w:rPr>
          <w:vertAlign w:val="subscript"/>
          <w:lang w:val="nl-NL"/>
        </w:rPr>
        <w:t>1</w:t>
      </w:r>
      <w:r w:rsidRPr="00927959">
        <w:rPr>
          <w:lang w:val="nl-NL"/>
        </w:rPr>
        <w:t xml:space="preserve"> aan.</w:t>
      </w:r>
    </w:p>
    <w:p w:rsidR="00927959" w:rsidRPr="00927959" w:rsidRDefault="00927959" w:rsidP="00927959">
      <w:pPr>
        <w:pStyle w:val="CSElijst"/>
        <w:numPr>
          <w:ilvl w:val="0"/>
          <w:numId w:val="7"/>
        </w:numPr>
        <w:ind w:left="0" w:hanging="567"/>
        <w:rPr>
          <w:lang w:val="nl-NL"/>
        </w:rPr>
      </w:pPr>
      <w:bookmarkStart w:id="2" w:name="_Ref487550637"/>
      <w:r w:rsidRPr="00927959">
        <w:rPr>
          <w:lang w:val="nl-NL"/>
        </w:rPr>
        <w:t>Schets in de nagetekende figuur ook hoe de hoeveelheden stikstofmonoöxide, stikstof en waterdamp gedurende de reactie veranderen.</w:t>
      </w:r>
      <w:r w:rsidRPr="00927959">
        <w:rPr>
          <w:lang w:val="nl-NL"/>
        </w:rPr>
        <w:br/>
        <w:t>Geef bij elke lijn duidelijk aan op welke stof zij betrekking heeft.</w:t>
      </w:r>
      <w:bookmarkEnd w:id="2"/>
    </w:p>
    <w:p w:rsidR="00927959" w:rsidRPr="00E430B3" w:rsidRDefault="00927959" w:rsidP="00927959">
      <w:r w:rsidRPr="00E430B3">
        <w:t>In figuur 2 wordt de reactiesnelheid als functie van de tijd weergegeven.</w:t>
      </w:r>
    </w:p>
    <w:p w:rsidR="00927959" w:rsidRPr="00E430B3" w:rsidRDefault="00927959" w:rsidP="00927959">
      <w:r w:rsidRPr="00E430B3">
        <w:t>Onder reactiesnelheid wordt hier verstaan de hoeveelheid waterstof die per tijdseenheid reageert.</w:t>
      </w:r>
    </w:p>
    <w:p w:rsidR="00927959" w:rsidRPr="008B0253" w:rsidRDefault="00927959" w:rsidP="00927959">
      <w:pPr>
        <w:pStyle w:val="Bijschrift"/>
      </w:pPr>
      <w:r w:rsidRPr="008B0253">
        <w:t>figuur 2</w:t>
      </w:r>
    </w:p>
    <w:p w:rsidR="00927959" w:rsidRDefault="00927959" w:rsidP="00927959">
      <w:r>
        <w:rPr>
          <w:noProof/>
        </w:rPr>
        <w:drawing>
          <wp:inline distT="0" distB="0" distL="0" distR="0" wp14:anchorId="6E283A67" wp14:editId="18556E4B">
            <wp:extent cx="2127380" cy="1108761"/>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0148"/>
                    <a:stretch/>
                  </pic:blipFill>
                  <pic:spPr bwMode="auto">
                    <a:xfrm>
                      <a:off x="0" y="0"/>
                      <a:ext cx="2175758" cy="1133975"/>
                    </a:xfrm>
                    <a:prstGeom prst="rect">
                      <a:avLst/>
                    </a:prstGeom>
                    <a:ln>
                      <a:noFill/>
                    </a:ln>
                    <a:extLst>
                      <a:ext uri="{53640926-AAD7-44D8-BBD7-CCE9431645EC}">
                        <a14:shadowObscured xmlns:a14="http://schemas.microsoft.com/office/drawing/2010/main"/>
                      </a:ext>
                    </a:extLst>
                  </pic:spPr>
                </pic:pic>
              </a:graphicData>
            </a:graphic>
          </wp:inline>
        </w:drawing>
      </w:r>
    </w:p>
    <w:p w:rsidR="00927959" w:rsidRPr="00E430B3" w:rsidRDefault="00927959" w:rsidP="00927959">
      <w:pPr>
        <w:pStyle w:val="CSElijst"/>
        <w:numPr>
          <w:ilvl w:val="0"/>
          <w:numId w:val="7"/>
        </w:numPr>
        <w:ind w:left="0" w:hanging="567"/>
      </w:pPr>
      <w:r w:rsidRPr="00927959">
        <w:rPr>
          <w:lang w:val="nl-NL"/>
        </w:rPr>
        <w:t xml:space="preserve">Welke betekenis ken je toe aan het oppervlak van het gebied onder de kromme? </w:t>
      </w:r>
      <w:r w:rsidRPr="00E430B3">
        <w:t>Licht je antwoord toe.</w:t>
      </w:r>
    </w:p>
    <w:p w:rsidR="00927959" w:rsidRPr="003F7D36" w:rsidRDefault="00927959" w:rsidP="00927959">
      <w:pPr>
        <w:pStyle w:val="CSElijst"/>
        <w:numPr>
          <w:ilvl w:val="0"/>
          <w:numId w:val="7"/>
        </w:numPr>
        <w:ind w:left="0" w:hanging="567"/>
        <w:rPr>
          <w:lang w:val="nl-NL"/>
        </w:rPr>
      </w:pPr>
      <w:r w:rsidRPr="00927959">
        <w:rPr>
          <w:lang w:val="nl-NL"/>
        </w:rPr>
        <w:t>Teken figuur 2 na op dezelfde grootte.</w:t>
      </w:r>
      <w:r w:rsidRPr="00927959">
        <w:rPr>
          <w:lang w:val="nl-NL"/>
        </w:rPr>
        <w:br/>
        <w:t xml:space="preserve">Schets in de nagetekende figuur het verloop van de reactiesnelheid als functie van de tijd voor het geval de proef, onder overigens gelijkblijvende omstandigheden, wordt uitgevoerd bij een hogere temperatuur. </w:t>
      </w:r>
      <w:r w:rsidRPr="003F7D36">
        <w:rPr>
          <w:lang w:val="nl-NL"/>
        </w:rPr>
        <w:t>Licht de tekening toe.</w:t>
      </w:r>
    </w:p>
    <w:bookmarkStart w:id="3" w:name="_Toc490827158"/>
    <w:p w:rsidR="00927959" w:rsidRPr="00E430B3" w:rsidRDefault="00927959" w:rsidP="00927959">
      <w:pPr>
        <w:pStyle w:val="Kop2"/>
      </w:pPr>
      <w:r w:rsidRPr="0018005E">
        <w:rPr>
          <w:noProof/>
        </w:rPr>
        <mc:AlternateContent>
          <mc:Choice Requires="wps">
            <w:drawing>
              <wp:anchor distT="0" distB="0" distL="0" distR="0" simplePos="0" relativeHeight="251662336" behindDoc="0" locked="0" layoutInCell="0" allowOverlap="1" wp14:anchorId="2074E3E0" wp14:editId="3F56DDCB">
                <wp:simplePos x="0" y="0"/>
                <wp:positionH relativeFrom="margin">
                  <wp:posOffset>-344132</wp:posOffset>
                </wp:positionH>
                <wp:positionV relativeFrom="paragraph">
                  <wp:posOffset>334010</wp:posOffset>
                </wp:positionV>
                <wp:extent cx="6172835" cy="0"/>
                <wp:effectExtent l="0" t="19050" r="56515" b="38100"/>
                <wp:wrapSquare wrapText="bothSides"/>
                <wp:docPr id="3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8BD5"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7.1pt,26.3pt" to="458.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" o:allowincell="f" strokecolor="silver" strokeweight="4.8pt">
                <w10:wrap type="square" anchorx="margin"/>
              </v:line>
            </w:pict>
          </mc:Fallback>
        </mc:AlternateContent>
      </w:r>
      <w:r>
        <w:t>Oplosbaarheid</w:t>
      </w:r>
      <w:r>
        <w:tab/>
        <w:t>1974-II(III)</w:t>
      </w:r>
      <w:bookmarkEnd w:id="3"/>
    </w:p>
    <w:p w:rsidR="00927959" w:rsidRPr="00E430B3" w:rsidRDefault="00927959" w:rsidP="00927959">
      <w:r w:rsidRPr="00E430B3">
        <w:t>Bij 20</w:t>
      </w:r>
      <w:r>
        <w:t xml:space="preserve"> </w:t>
      </w:r>
      <w:r w:rsidRPr="00E430B3">
        <w:t>°C kan men in een liter water ten hoogste 26,7</w:t>
      </w:r>
      <w:r>
        <w:sym w:font="Symbol" w:char="F0D7"/>
      </w:r>
      <w:r w:rsidRPr="00E430B3">
        <w:t>10</w:t>
      </w:r>
      <w:r>
        <w:rPr>
          <w:vertAlign w:val="superscript"/>
        </w:rPr>
        <w:sym w:font="Symbol" w:char="F02D"/>
      </w:r>
      <w:r w:rsidRPr="006A62EA">
        <w:rPr>
          <w:vertAlign w:val="superscript"/>
        </w:rPr>
        <w:t>3</w:t>
      </w:r>
      <w:r w:rsidRPr="00E430B3">
        <w:t xml:space="preserve"> mol zilversulfaat oplossen. Als men meer zilversulfaat toevoegt, stelt zich het volgende evenwicht in</w:t>
      </w:r>
      <w:r>
        <w:t>:</w:t>
      </w:r>
    </w:p>
    <w:p w:rsidR="00927959" w:rsidRPr="00E52B0E" w:rsidRDefault="00927959" w:rsidP="00927959">
      <w:pPr>
        <w:pStyle w:val="Vergelijking"/>
        <w:rPr>
          <w:lang w:val="en-US"/>
        </w:rPr>
      </w:pPr>
      <w:r w:rsidRPr="00E52B0E">
        <w:rPr>
          <w:lang w:val="en-US"/>
        </w:rPr>
        <w:t>Ag</w:t>
      </w:r>
      <w:r w:rsidRPr="006A62EA">
        <w:rPr>
          <w:vertAlign w:val="subscript"/>
          <w:lang w:val="en-US"/>
        </w:rPr>
        <w:t>2</w:t>
      </w:r>
      <w:r w:rsidRPr="00E52B0E">
        <w:rPr>
          <w:lang w:val="en-US"/>
        </w:rPr>
        <w:t>SO</w:t>
      </w:r>
      <w:r w:rsidRPr="006A62EA">
        <w:rPr>
          <w:vertAlign w:val="subscript"/>
          <w:lang w:val="en-US"/>
        </w:rPr>
        <w:t>4</w:t>
      </w:r>
      <w:r w:rsidRPr="00E52B0E">
        <w:rPr>
          <w:lang w:val="en-US"/>
        </w:rPr>
        <w:t xml:space="preserve">(s) </w:t>
      </w:r>
      <w:r>
        <w:rPr>
          <w:rFonts w:ascii="Cambria Math" w:hAnsi="Cambria Math"/>
          <w:lang w:val="en-US"/>
        </w:rPr>
        <w:t>⇌</w:t>
      </w:r>
      <w:r>
        <w:rPr>
          <w:lang w:val="en-US"/>
        </w:rPr>
        <w:t xml:space="preserve"> </w:t>
      </w:r>
      <w:r w:rsidRPr="00E52B0E">
        <w:rPr>
          <w:lang w:val="en-US"/>
        </w:rPr>
        <w:t>2 Ag</w:t>
      </w:r>
      <w:r w:rsidRPr="00916B0E">
        <w:rPr>
          <w:vertAlign w:val="superscript"/>
          <w:lang w:val="en-US"/>
        </w:rPr>
        <w:t>+</w:t>
      </w:r>
      <w:r w:rsidRPr="00E52B0E">
        <w:rPr>
          <w:lang w:val="en-US"/>
        </w:rPr>
        <w:t>(aq) + S</w:t>
      </w:r>
      <w:r>
        <w:rPr>
          <w:lang w:val="en-US"/>
        </w:rPr>
        <w:t>O</w:t>
      </w:r>
      <w:r w:rsidRPr="00916B0E">
        <w:rPr>
          <w:vertAlign w:val="subscript"/>
          <w:lang w:val="en-US"/>
        </w:rPr>
        <w:t>4</w:t>
      </w:r>
      <w:r>
        <w:rPr>
          <w:vertAlign w:val="superscript"/>
          <w:lang w:val="en-US"/>
        </w:rPr>
        <w:t>2</w:t>
      </w:r>
      <w:r>
        <w:rPr>
          <w:vertAlign w:val="superscript"/>
          <w:lang w:val="en-US"/>
        </w:rPr>
        <w:sym w:font="Symbol" w:char="F02D"/>
      </w:r>
      <w:r w:rsidRPr="00E52B0E">
        <w:rPr>
          <w:lang w:val="en-US"/>
        </w:rPr>
        <w:t>(aq)</w:t>
      </w:r>
      <w:r>
        <w:rPr>
          <w:lang w:val="en-US"/>
        </w:rPr>
        <w:tab/>
      </w:r>
      <w:r>
        <w:rPr>
          <w:rStyle w:val="Voetnootmarkering"/>
          <w:lang w:val="en-US"/>
        </w:rPr>
        <w:footnoteReference w:id="1"/>
      </w:r>
    </w:p>
    <w:p w:rsidR="00927959" w:rsidRPr="00927959" w:rsidRDefault="00927959" w:rsidP="00927959">
      <w:pPr>
        <w:pStyle w:val="CSElijst"/>
        <w:numPr>
          <w:ilvl w:val="0"/>
          <w:numId w:val="7"/>
        </w:numPr>
        <w:ind w:left="0" w:hanging="567"/>
        <w:rPr>
          <w:lang w:val="nl-NL"/>
        </w:rPr>
      </w:pPr>
      <w:r w:rsidRPr="00927959">
        <w:rPr>
          <w:lang w:val="nl-NL"/>
        </w:rPr>
        <w:t>Toon door berekening aan dat de gegeven waarde voor de oplosbaarheid van zilversulfaat overeenstemt met een waarde van 7,6</w:t>
      </w:r>
      <w:r>
        <w:sym w:font="Symbol" w:char="F0D7"/>
      </w:r>
      <w:r w:rsidRPr="00927959">
        <w:rPr>
          <w:lang w:val="nl-NL"/>
        </w:rPr>
        <w:t>10</w:t>
      </w:r>
      <w:r w:rsidRPr="00916B0E">
        <w:rPr>
          <w:vertAlign w:val="superscript"/>
        </w:rPr>
        <w:sym w:font="Symbol" w:char="F02D"/>
      </w:r>
      <w:r w:rsidRPr="00927959">
        <w:rPr>
          <w:vertAlign w:val="superscript"/>
          <w:lang w:val="nl-NL"/>
        </w:rPr>
        <w:t>5</w:t>
      </w:r>
      <w:r w:rsidRPr="00927959">
        <w:rPr>
          <w:lang w:val="nl-NL"/>
        </w:rPr>
        <w:t xml:space="preserve"> voor het oplosbaarheidsproduct van zilversulfaat.</w:t>
      </w:r>
    </w:p>
    <w:p w:rsidR="00927959" w:rsidRPr="00E430B3" w:rsidRDefault="00927959" w:rsidP="00927959">
      <w:r w:rsidRPr="00E430B3">
        <w:t>Men kan de oplosbaarheid van zilversulfaat in water waarin reeds andere zouten zijn opgelost, voorspellen door berekening met behulp van het oplosbaarheidsprodu</w:t>
      </w:r>
      <w:r>
        <w:t>c</w:t>
      </w:r>
      <w:r w:rsidRPr="00E430B3">
        <w:t>t. Daarbij veronderstelt men wél dat het oplosbaarheidsprodu</w:t>
      </w:r>
      <w:r>
        <w:t>c</w:t>
      </w:r>
      <w:r w:rsidRPr="00E430B3">
        <w:t>t (bij constante temperatuur) steeds dezelfde waarde heeft.</w:t>
      </w:r>
    </w:p>
    <w:p w:rsidR="00927959" w:rsidRPr="00E430B3" w:rsidRDefault="00927959" w:rsidP="00927959">
      <w:r w:rsidRPr="00E430B3">
        <w:t>Om deze veronderstelling op haar juistheid te toetsen heeft men de oplosbaarheid van zilversulfaat in dergelijke oplossingen experimenteel bepaald.</w:t>
      </w:r>
    </w:p>
    <w:p w:rsidR="00927959" w:rsidRPr="00E430B3" w:rsidRDefault="00927959" w:rsidP="00927959">
      <w:r w:rsidRPr="00E430B3">
        <w:t>In onderstaande tabel zijn vermeld</w:t>
      </w:r>
      <w:r>
        <w:t xml:space="preserve"> </w:t>
      </w:r>
      <w:r w:rsidRPr="00E430B3">
        <w:t>in</w:t>
      </w:r>
      <w:r w:rsidRPr="0048654C">
        <w:t xml:space="preserve"> </w:t>
      </w:r>
      <w:r w:rsidRPr="00E430B3">
        <w:t>kolom</w:t>
      </w:r>
      <w:r>
        <w:br/>
      </w:r>
      <w:r w:rsidRPr="00E430B3">
        <w:t>I: het oplosmiddel</w:t>
      </w:r>
      <w:r>
        <w:br/>
      </w:r>
      <w:r w:rsidRPr="00E430B3">
        <w:t>II: de waarde van de oplosbaarheid van zilversulfaat, berekend met behulp van</w:t>
      </w:r>
      <w:r>
        <w:t xml:space="preserve"> </w:t>
      </w:r>
      <w:r w:rsidRPr="00E430B3">
        <w:t>het oplosbaarheidsprodu</w:t>
      </w:r>
      <w:r>
        <w:t>c</w:t>
      </w:r>
      <w:r w:rsidRPr="00E430B3">
        <w:t>t bij 20</w:t>
      </w:r>
      <w:r>
        <w:t xml:space="preserve"> </w:t>
      </w:r>
      <w:r w:rsidRPr="00E430B3">
        <w:t>°C</w:t>
      </w:r>
    </w:p>
    <w:p w:rsidR="00927959" w:rsidRPr="00E430B3" w:rsidRDefault="00927959" w:rsidP="00927959">
      <w:r w:rsidRPr="00E430B3">
        <w:t>III: de experimenteel bepaalde waarde van de oplosbaarheid van zilversulfaat bij 20</w:t>
      </w:r>
      <w:r>
        <w:t xml:space="preserve"> </w:t>
      </w:r>
      <w:r w:rsidRPr="00E430B3">
        <w:t>°C.</w:t>
      </w:r>
    </w:p>
    <w:p w:rsidR="00927959" w:rsidRPr="00E430B3" w:rsidRDefault="00927959" w:rsidP="00927959">
      <w:r>
        <w:br w:type="page"/>
      </w:r>
    </w:p>
    <w:tbl>
      <w:tblPr>
        <w:tblW w:w="0" w:type="auto"/>
        <w:tblInd w:w="133" w:type="dxa"/>
        <w:tblCellMar>
          <w:left w:w="0" w:type="dxa"/>
          <w:right w:w="0" w:type="dxa"/>
        </w:tblCellMar>
        <w:tblLook w:val="0000" w:firstRow="0" w:lastRow="0" w:firstColumn="0" w:lastColumn="0" w:noHBand="0" w:noVBand="0"/>
      </w:tblPr>
      <w:tblGrid>
        <w:gridCol w:w="2132"/>
        <w:gridCol w:w="3133"/>
        <w:gridCol w:w="3292"/>
      </w:tblGrid>
      <w:tr w:rsidR="00927959" w:rsidRPr="00E430B3" w:rsidTr="001D4EA2">
        <w:tc>
          <w:tcPr>
            <w:tcW w:w="0" w:type="auto"/>
            <w:tcBorders>
              <w:bottom w:val="single" w:sz="4" w:space="0" w:color="auto"/>
              <w:right w:val="single" w:sz="4" w:space="0" w:color="auto"/>
            </w:tcBorders>
            <w:tcMar>
              <w:left w:w="85" w:type="dxa"/>
              <w:right w:w="85" w:type="dxa"/>
            </w:tcMar>
          </w:tcPr>
          <w:p w:rsidR="00927959" w:rsidRPr="00E430B3" w:rsidRDefault="00927959" w:rsidP="001D4EA2">
            <w:pPr>
              <w:jc w:val="center"/>
            </w:pPr>
            <w:r w:rsidRPr="00E430B3">
              <w:lastRenderedPageBreak/>
              <w:t>I</w:t>
            </w:r>
          </w:p>
          <w:p w:rsidR="00927959" w:rsidRPr="00E430B3" w:rsidRDefault="00927959" w:rsidP="001D4EA2">
            <w:pPr>
              <w:jc w:val="center"/>
            </w:pPr>
            <w:r w:rsidRPr="00E430B3">
              <w:t>oplosmiddel</w:t>
            </w:r>
          </w:p>
        </w:tc>
        <w:tc>
          <w:tcPr>
            <w:tcW w:w="0" w:type="auto"/>
            <w:tcBorders>
              <w:left w:val="single" w:sz="4" w:space="0" w:color="auto"/>
              <w:bottom w:val="single" w:sz="4" w:space="0" w:color="auto"/>
              <w:right w:val="single" w:sz="4" w:space="0" w:color="auto"/>
            </w:tcBorders>
            <w:tcMar>
              <w:left w:w="85" w:type="dxa"/>
              <w:right w:w="85" w:type="dxa"/>
            </w:tcMar>
          </w:tcPr>
          <w:p w:rsidR="00927959" w:rsidRPr="00E430B3" w:rsidRDefault="00927959" w:rsidP="001D4EA2">
            <w:pPr>
              <w:jc w:val="center"/>
            </w:pPr>
            <w:r w:rsidRPr="00E430B3">
              <w:t>II</w:t>
            </w:r>
          </w:p>
          <w:p w:rsidR="00927959" w:rsidRPr="00E430B3" w:rsidRDefault="00927959" w:rsidP="001D4EA2">
            <w:pPr>
              <w:jc w:val="center"/>
            </w:pPr>
            <w:r w:rsidRPr="00E430B3">
              <w:t>theoretisch berekend (in mmo</w:t>
            </w:r>
            <w:r>
              <w:t>l</w:t>
            </w:r>
            <w:r w:rsidRPr="00E430B3">
              <w:t>/</w:t>
            </w:r>
            <w:r>
              <w:t>L</w:t>
            </w:r>
            <w:r w:rsidRPr="00E430B3">
              <w:t>)</w:t>
            </w:r>
          </w:p>
        </w:tc>
        <w:tc>
          <w:tcPr>
            <w:tcW w:w="0" w:type="auto"/>
            <w:tcBorders>
              <w:left w:val="single" w:sz="4" w:space="0" w:color="auto"/>
              <w:bottom w:val="single" w:sz="4" w:space="0" w:color="auto"/>
            </w:tcBorders>
            <w:tcMar>
              <w:left w:w="85" w:type="dxa"/>
              <w:right w:w="85" w:type="dxa"/>
            </w:tcMar>
          </w:tcPr>
          <w:p w:rsidR="00927959" w:rsidRPr="00E430B3" w:rsidRDefault="00927959" w:rsidP="001D4EA2">
            <w:pPr>
              <w:jc w:val="center"/>
            </w:pPr>
            <w:r w:rsidRPr="00E430B3">
              <w:t>III</w:t>
            </w:r>
          </w:p>
          <w:p w:rsidR="00927959" w:rsidRPr="00E430B3" w:rsidRDefault="00927959" w:rsidP="001D4EA2">
            <w:pPr>
              <w:jc w:val="center"/>
            </w:pPr>
            <w:r w:rsidRPr="00E430B3">
              <w:t>experimenteel bepaald (in mmo</w:t>
            </w:r>
            <w:r>
              <w:t>l</w:t>
            </w:r>
            <w:r w:rsidRPr="00E430B3">
              <w:t>/</w:t>
            </w:r>
            <w:r>
              <w:t>L</w:t>
            </w:r>
            <w:r w:rsidRPr="00E430B3">
              <w:t>)</w:t>
            </w:r>
          </w:p>
        </w:tc>
      </w:tr>
      <w:tr w:rsidR="00927959" w:rsidRPr="00E430B3" w:rsidTr="001D4EA2">
        <w:trPr>
          <w:trHeight w:hRule="exact" w:val="571"/>
        </w:trPr>
        <w:tc>
          <w:tcPr>
            <w:tcW w:w="0" w:type="auto"/>
            <w:tcBorders>
              <w:top w:val="single" w:sz="4" w:space="0" w:color="auto"/>
              <w:right w:val="single" w:sz="4" w:space="0" w:color="auto"/>
            </w:tcBorders>
            <w:tcMar>
              <w:left w:w="85" w:type="dxa"/>
              <w:right w:w="85" w:type="dxa"/>
            </w:tcMar>
          </w:tcPr>
          <w:p w:rsidR="00927959" w:rsidRPr="00E430B3" w:rsidRDefault="00927959" w:rsidP="001D4EA2">
            <w:r w:rsidRPr="00E430B3">
              <w:t>water</w:t>
            </w:r>
          </w:p>
          <w:p w:rsidR="00927959" w:rsidRPr="00E430B3" w:rsidRDefault="00927959" w:rsidP="001D4EA2">
            <w:r w:rsidRPr="00E430B3">
              <w:t>mag</w:t>
            </w:r>
            <w:r>
              <w:t>n</w:t>
            </w:r>
            <w:r w:rsidRPr="00E430B3">
              <w:t>esiumsulfaat</w:t>
            </w:r>
            <w:r w:rsidRPr="00E430B3">
              <w:noBreakHyphen/>
            </w:r>
          </w:p>
        </w:tc>
        <w:tc>
          <w:tcPr>
            <w:tcW w:w="0" w:type="auto"/>
            <w:tcBorders>
              <w:top w:val="single" w:sz="4" w:space="0" w:color="auto"/>
              <w:left w:val="single" w:sz="4" w:space="0" w:color="auto"/>
              <w:right w:val="single" w:sz="4" w:space="0" w:color="auto"/>
            </w:tcBorders>
            <w:tcMar>
              <w:left w:w="85" w:type="dxa"/>
              <w:right w:w="85" w:type="dxa"/>
            </w:tcMar>
          </w:tcPr>
          <w:p w:rsidR="00927959" w:rsidRPr="00E430B3" w:rsidRDefault="00927959" w:rsidP="001D4EA2">
            <w:pPr>
              <w:jc w:val="center"/>
            </w:pPr>
            <w:r w:rsidRPr="00E430B3">
              <w:t>—</w:t>
            </w:r>
          </w:p>
        </w:tc>
        <w:tc>
          <w:tcPr>
            <w:tcW w:w="0" w:type="auto"/>
            <w:tcBorders>
              <w:top w:val="single" w:sz="4" w:space="0" w:color="auto"/>
              <w:left w:val="single" w:sz="4" w:space="0" w:color="auto"/>
            </w:tcBorders>
            <w:tcMar>
              <w:left w:w="85" w:type="dxa"/>
              <w:right w:w="85" w:type="dxa"/>
            </w:tcMar>
          </w:tcPr>
          <w:p w:rsidR="00927959" w:rsidRPr="00E430B3" w:rsidRDefault="00927959" w:rsidP="001D4EA2">
            <w:pPr>
              <w:jc w:val="center"/>
            </w:pPr>
            <w:r w:rsidRPr="00E430B3">
              <w:t>26,7</w:t>
            </w:r>
          </w:p>
        </w:tc>
      </w:tr>
      <w:tr w:rsidR="00927959" w:rsidRPr="00E430B3" w:rsidTr="001D4EA2">
        <w:trPr>
          <w:trHeight w:hRule="exact" w:val="495"/>
        </w:trPr>
        <w:tc>
          <w:tcPr>
            <w:tcW w:w="0" w:type="auto"/>
            <w:tcBorders>
              <w:right w:val="single" w:sz="4" w:space="0" w:color="auto"/>
            </w:tcBorders>
            <w:tcMar>
              <w:left w:w="85" w:type="dxa"/>
              <w:right w:w="85" w:type="dxa"/>
            </w:tcMar>
          </w:tcPr>
          <w:p w:rsidR="00927959" w:rsidRPr="00E430B3" w:rsidRDefault="00927959" w:rsidP="001D4EA2">
            <w:r w:rsidRPr="00E430B3">
              <w:t>oplossing, 0,05 mol/</w:t>
            </w:r>
            <w:r>
              <w:t>L</w:t>
            </w:r>
            <w:r w:rsidRPr="00E430B3">
              <w:br/>
              <w:t>zilvernitraatoplossing,</w:t>
            </w:r>
          </w:p>
        </w:tc>
        <w:tc>
          <w:tcPr>
            <w:tcW w:w="0" w:type="auto"/>
            <w:tcBorders>
              <w:left w:val="single" w:sz="4" w:space="0" w:color="auto"/>
              <w:right w:val="single" w:sz="4" w:space="0" w:color="auto"/>
            </w:tcBorders>
            <w:tcMar>
              <w:left w:w="85" w:type="dxa"/>
              <w:right w:w="85" w:type="dxa"/>
            </w:tcMar>
          </w:tcPr>
          <w:p w:rsidR="00927959" w:rsidRPr="00E430B3" w:rsidRDefault="00927959" w:rsidP="001D4EA2">
            <w:pPr>
              <w:jc w:val="center"/>
            </w:pPr>
            <w:r w:rsidRPr="00E430B3">
              <w:t>16,9</w:t>
            </w:r>
          </w:p>
        </w:tc>
        <w:tc>
          <w:tcPr>
            <w:tcW w:w="0" w:type="auto"/>
            <w:tcBorders>
              <w:left w:val="single" w:sz="4" w:space="0" w:color="auto"/>
            </w:tcBorders>
            <w:tcMar>
              <w:left w:w="85" w:type="dxa"/>
              <w:right w:w="85" w:type="dxa"/>
            </w:tcMar>
          </w:tcPr>
          <w:p w:rsidR="00927959" w:rsidRPr="00E430B3" w:rsidRDefault="00927959" w:rsidP="001D4EA2">
            <w:pPr>
              <w:jc w:val="center"/>
            </w:pPr>
            <w:r w:rsidRPr="00E430B3">
              <w:t>25,3</w:t>
            </w:r>
          </w:p>
        </w:tc>
      </w:tr>
      <w:tr w:rsidR="00927959" w:rsidRPr="00E430B3" w:rsidTr="001D4EA2">
        <w:trPr>
          <w:trHeight w:hRule="exact" w:val="475"/>
        </w:trPr>
        <w:tc>
          <w:tcPr>
            <w:tcW w:w="0" w:type="auto"/>
            <w:tcBorders>
              <w:right w:val="single" w:sz="4" w:space="0" w:color="auto"/>
            </w:tcBorders>
            <w:tcMar>
              <w:left w:w="85" w:type="dxa"/>
              <w:right w:w="85" w:type="dxa"/>
            </w:tcMar>
          </w:tcPr>
          <w:p w:rsidR="00927959" w:rsidRPr="00E430B3" w:rsidRDefault="00927959" w:rsidP="001D4EA2">
            <w:r w:rsidRPr="00E430B3">
              <w:t>0,05 mol/</w:t>
            </w:r>
            <w:r>
              <w:t>L</w:t>
            </w:r>
          </w:p>
          <w:p w:rsidR="00927959" w:rsidRPr="00E430B3" w:rsidRDefault="00927959" w:rsidP="001D4EA2">
            <w:r w:rsidRPr="00E430B3">
              <w:t>kaliumnitraatoplos</w:t>
            </w:r>
            <w:r w:rsidRPr="00E430B3">
              <w:noBreakHyphen/>
            </w:r>
          </w:p>
        </w:tc>
        <w:tc>
          <w:tcPr>
            <w:tcW w:w="0" w:type="auto"/>
            <w:tcBorders>
              <w:left w:val="single" w:sz="4" w:space="0" w:color="auto"/>
              <w:right w:val="single" w:sz="4" w:space="0" w:color="auto"/>
            </w:tcBorders>
            <w:tcMar>
              <w:left w:w="85" w:type="dxa"/>
              <w:right w:w="85" w:type="dxa"/>
            </w:tcMar>
          </w:tcPr>
          <w:p w:rsidR="00927959" w:rsidRPr="00E430B3" w:rsidRDefault="00927959" w:rsidP="001D4EA2">
            <w:pPr>
              <w:jc w:val="center"/>
            </w:pPr>
            <w:r w:rsidRPr="00E430B3">
              <w:t>13,1</w:t>
            </w:r>
          </w:p>
        </w:tc>
        <w:tc>
          <w:tcPr>
            <w:tcW w:w="0" w:type="auto"/>
            <w:tcBorders>
              <w:left w:val="single" w:sz="4" w:space="0" w:color="auto"/>
            </w:tcBorders>
            <w:tcMar>
              <w:left w:w="85" w:type="dxa"/>
              <w:right w:w="85" w:type="dxa"/>
            </w:tcMar>
          </w:tcPr>
          <w:p w:rsidR="00927959" w:rsidRPr="00E430B3" w:rsidRDefault="00927959" w:rsidP="001D4EA2">
            <w:pPr>
              <w:jc w:val="center"/>
            </w:pPr>
            <w:r w:rsidRPr="00E430B3">
              <w:t>15,0</w:t>
            </w:r>
          </w:p>
        </w:tc>
      </w:tr>
      <w:tr w:rsidR="00927959" w:rsidRPr="00E430B3" w:rsidTr="001D4EA2">
        <w:trPr>
          <w:trHeight w:hRule="exact" w:val="379"/>
        </w:trPr>
        <w:tc>
          <w:tcPr>
            <w:tcW w:w="0" w:type="auto"/>
            <w:tcBorders>
              <w:right w:val="single" w:sz="4" w:space="0" w:color="auto"/>
            </w:tcBorders>
            <w:tcMar>
              <w:left w:w="85" w:type="dxa"/>
              <w:right w:w="85" w:type="dxa"/>
            </w:tcMar>
          </w:tcPr>
          <w:p w:rsidR="00927959" w:rsidRPr="00E430B3" w:rsidRDefault="00927959" w:rsidP="001D4EA2">
            <w:r w:rsidRPr="00E430B3">
              <w:t>s</w:t>
            </w:r>
            <w:r>
              <w:t>in</w:t>
            </w:r>
            <w:r w:rsidRPr="00E430B3">
              <w:t>g, 0,05 mol/</w:t>
            </w:r>
            <w:r>
              <w:t>L</w:t>
            </w:r>
          </w:p>
        </w:tc>
        <w:tc>
          <w:tcPr>
            <w:tcW w:w="0" w:type="auto"/>
            <w:tcBorders>
              <w:left w:val="single" w:sz="4" w:space="0" w:color="auto"/>
              <w:right w:val="single" w:sz="4" w:space="0" w:color="auto"/>
            </w:tcBorders>
            <w:tcMar>
              <w:left w:w="85" w:type="dxa"/>
              <w:right w:w="85" w:type="dxa"/>
            </w:tcMar>
          </w:tcPr>
          <w:p w:rsidR="00927959" w:rsidRPr="00E430B3" w:rsidRDefault="00927959" w:rsidP="001D4EA2">
            <w:pPr>
              <w:jc w:val="center"/>
            </w:pPr>
            <w:r w:rsidRPr="00E430B3">
              <w:t>26,7</w:t>
            </w:r>
          </w:p>
        </w:tc>
        <w:tc>
          <w:tcPr>
            <w:tcW w:w="0" w:type="auto"/>
            <w:tcBorders>
              <w:left w:val="single" w:sz="4" w:space="0" w:color="auto"/>
            </w:tcBorders>
            <w:tcMar>
              <w:left w:w="85" w:type="dxa"/>
              <w:right w:w="85" w:type="dxa"/>
            </w:tcMar>
          </w:tcPr>
          <w:p w:rsidR="00927959" w:rsidRPr="00E430B3" w:rsidRDefault="00927959" w:rsidP="001D4EA2">
            <w:pPr>
              <w:jc w:val="center"/>
            </w:pPr>
            <w:r w:rsidRPr="00E430B3">
              <w:t>31,4</w:t>
            </w:r>
          </w:p>
        </w:tc>
      </w:tr>
    </w:tbl>
    <w:p w:rsidR="00927959" w:rsidRPr="00E430B3" w:rsidRDefault="00927959" w:rsidP="00927959">
      <w:pPr>
        <w:spacing w:before="120"/>
      </w:pPr>
      <w:r w:rsidRPr="00E430B3">
        <w:t>Uit de tabel blijkt dat de theoretisch berekende waarden verschillen van de experimenteel bepaalde waarden.</w:t>
      </w:r>
    </w:p>
    <w:p w:rsidR="00927959" w:rsidRPr="00927959" w:rsidRDefault="00927959" w:rsidP="00927959">
      <w:pPr>
        <w:pStyle w:val="CSElijst"/>
        <w:numPr>
          <w:ilvl w:val="0"/>
          <w:numId w:val="7"/>
        </w:numPr>
        <w:ind w:left="0" w:hanging="567"/>
        <w:rPr>
          <w:lang w:val="nl-NL"/>
        </w:rPr>
      </w:pPr>
      <w:r w:rsidRPr="00927959">
        <w:rPr>
          <w:lang w:val="nl-NL"/>
        </w:rPr>
        <w:t>Beredeneer dat men voor de oplosbaarheid van zilversulfaat in de magnesiumsulfaatoplossing een lagere waarde heeft berekend (kolom II) dan 26,7.</w:t>
      </w:r>
    </w:p>
    <w:p w:rsidR="00927959" w:rsidRPr="00927959" w:rsidRDefault="00927959" w:rsidP="00927959">
      <w:pPr>
        <w:pStyle w:val="CSElijst"/>
        <w:numPr>
          <w:ilvl w:val="0"/>
          <w:numId w:val="7"/>
        </w:numPr>
        <w:ind w:left="0" w:hanging="567"/>
        <w:rPr>
          <w:lang w:val="nl-NL"/>
        </w:rPr>
      </w:pPr>
      <w:r w:rsidRPr="00927959">
        <w:rPr>
          <w:lang w:val="nl-NL"/>
        </w:rPr>
        <w:t>Beredeneer dat men voor de oplosbaarheid van zilversulfaat in de zilvernitraatoplossing een nog lagere waarde heeft berekend.</w:t>
      </w:r>
    </w:p>
    <w:p w:rsidR="00927959" w:rsidRPr="00927959" w:rsidRDefault="00927959" w:rsidP="00927959">
      <w:pPr>
        <w:pStyle w:val="CSElijst"/>
        <w:numPr>
          <w:ilvl w:val="0"/>
          <w:numId w:val="7"/>
        </w:numPr>
        <w:ind w:left="0" w:hanging="567"/>
        <w:rPr>
          <w:lang w:val="nl-NL"/>
        </w:rPr>
      </w:pPr>
      <w:r w:rsidRPr="00927959">
        <w:rPr>
          <w:lang w:val="nl-NL"/>
        </w:rPr>
        <w:t>Beredeneer dat men voor de oplosbaarheid van zilversulfaat in de kaliumnitraatoplossing in kolom II wel de waarde 26,7 heeft ingevuld.</w:t>
      </w:r>
    </w:p>
    <w:p w:rsidR="00927959" w:rsidRPr="00E430B3" w:rsidRDefault="00927959" w:rsidP="00927959">
      <w:r w:rsidRPr="00E430B3">
        <w:t xml:space="preserve">Uit kolom III blijkt o.a. dat in de kaliumnitraatoplossing meer zilversulfaat oplost dan in water. Men noemt dit verschil het </w:t>
      </w:r>
      <w:r>
        <w:t>‘</w:t>
      </w:r>
      <w:r w:rsidRPr="00E430B3">
        <w:t>zouteffect</w:t>
      </w:r>
      <w:r>
        <w:t>’</w:t>
      </w:r>
      <w:r w:rsidRPr="00E430B3">
        <w:t xml:space="preserve"> en verklaart het a</w:t>
      </w:r>
      <w:r>
        <w:t>ls</w:t>
      </w:r>
      <w:r w:rsidRPr="00E430B3">
        <w:t xml:space="preserve"> een gevolg van de wisselwerking tussen de opgeloste deeltjes.</w:t>
      </w:r>
    </w:p>
    <w:p w:rsidR="00927959" w:rsidRPr="00E430B3" w:rsidRDefault="00927959" w:rsidP="00927959">
      <w:r w:rsidRPr="00E430B3">
        <w:t>Als zilversulfaat oplost in water worden de zilverionen en de sulfaationen omgeven door een mantel van watermoleculen.</w:t>
      </w:r>
    </w:p>
    <w:p w:rsidR="00927959" w:rsidRPr="00E430B3" w:rsidRDefault="00927959" w:rsidP="00927959">
      <w:r w:rsidRPr="00E430B3">
        <w:t xml:space="preserve">Als zilversulfaat neerslaat moeten deze ionen de omhulling van watermoleculen doorbreken. Het verschil tussen oplossingen van zilversulfaat in water en in kaliumnitraatoplossing is, dat in het laatste geval in de omgeving van elk zilverion nitraationen voorkomen en in de omgeving van elk sulfaation </w:t>
      </w:r>
      <w:r>
        <w:t>k</w:t>
      </w:r>
      <w:r w:rsidRPr="00E430B3">
        <w:t>aliumionen. Daardoor kunnen de zilverionen en de sulfaationen moeilijker met elkaar reageren.</w:t>
      </w:r>
    </w:p>
    <w:p w:rsidR="00927959" w:rsidRPr="00E430B3" w:rsidRDefault="00927959" w:rsidP="00927959">
      <w:r w:rsidRPr="00E430B3">
        <w:t xml:space="preserve">De omgekeerde reactie, het oplossen van zilversulfaat, zal door de aanwezigheid van </w:t>
      </w:r>
      <w:r>
        <w:t>k</w:t>
      </w:r>
      <w:r w:rsidRPr="00E430B3">
        <w:t>aliu</w:t>
      </w:r>
      <w:r>
        <w:t>m</w:t>
      </w:r>
      <w:r w:rsidRPr="00E430B3">
        <w:t>nitraat niet worden belemmerd. Het gevolg is dat de oplosbaarheid in aanwezigheid van kaliumnitraat groter is.</w:t>
      </w:r>
    </w:p>
    <w:p w:rsidR="00927959" w:rsidRPr="00E430B3" w:rsidRDefault="00927959" w:rsidP="00927959">
      <w:pPr>
        <w:pStyle w:val="CSElijst"/>
        <w:numPr>
          <w:ilvl w:val="0"/>
          <w:numId w:val="7"/>
        </w:numPr>
        <w:ind w:left="0" w:hanging="567"/>
      </w:pPr>
      <w:r w:rsidRPr="00927959">
        <w:rPr>
          <w:lang w:val="nl-NL"/>
        </w:rPr>
        <w:t xml:space="preserve">De experimenteel bepaalde waarde voor de oplosbaarheid van zilversulfaat in de zilvernitraat-oplossing is groter dan de theoretisch berekende. </w:t>
      </w:r>
      <w:r w:rsidRPr="00E430B3">
        <w:t>Verklaar dit met behulp van het zouteffect.</w:t>
      </w:r>
    </w:p>
    <w:bookmarkStart w:id="4" w:name="_Toc490827159"/>
    <w:p w:rsidR="00927959" w:rsidRPr="00E430B3" w:rsidRDefault="00927959" w:rsidP="00927959">
      <w:pPr>
        <w:pStyle w:val="Kop2"/>
      </w:pPr>
      <w:r w:rsidRPr="0018005E">
        <w:rPr>
          <w:noProof/>
        </w:rPr>
        <mc:AlternateContent>
          <mc:Choice Requires="wps">
            <w:drawing>
              <wp:anchor distT="0" distB="0" distL="0" distR="0" simplePos="0" relativeHeight="251663360" behindDoc="0" locked="0" layoutInCell="0" allowOverlap="1" wp14:anchorId="02879149" wp14:editId="25DD5D83">
                <wp:simplePos x="0" y="0"/>
                <wp:positionH relativeFrom="margin">
                  <wp:posOffset>-357780</wp:posOffset>
                </wp:positionH>
                <wp:positionV relativeFrom="paragraph">
                  <wp:posOffset>316552</wp:posOffset>
                </wp:positionV>
                <wp:extent cx="6172835" cy="0"/>
                <wp:effectExtent l="0" t="19050" r="56515" b="38100"/>
                <wp:wrapSquare wrapText="bothSides"/>
                <wp:docPr id="3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EB3F5"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8.15pt,24.95pt" to="457.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7G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" o:allowincell="f" strokecolor="silver" strokeweight="4.8pt">
                <w10:wrap type="square" anchorx="margin"/>
              </v:line>
            </w:pict>
          </mc:Fallback>
        </mc:AlternateContent>
      </w:r>
      <w:r>
        <w:t>Ketenlengte</w:t>
      </w:r>
      <w:r>
        <w:tab/>
        <w:t>1974-II(IV)</w:t>
      </w:r>
      <w:bookmarkEnd w:id="4"/>
    </w:p>
    <w:p w:rsidR="00927959" w:rsidRPr="00E430B3" w:rsidRDefault="00927959" w:rsidP="00927959">
      <w:r w:rsidRPr="00E430B3">
        <w:t>De toepassingsmogelijkheden van een polymeer worden bepaald</w:t>
      </w:r>
      <w:r>
        <w:t xml:space="preserve"> </w:t>
      </w:r>
      <w:r w:rsidRPr="00E430B3">
        <w:t>door zijn eigensc</w:t>
      </w:r>
      <w:r>
        <w:t>happe</w:t>
      </w:r>
      <w:r w:rsidRPr="00E430B3">
        <w:t>n, Deze</w:t>
      </w:r>
      <w:r>
        <w:t xml:space="preserve"> </w:t>
      </w:r>
      <w:r w:rsidRPr="00E430B3">
        <w:t>eigenschappen hangen onder andere af van</w:t>
      </w:r>
      <w:r>
        <w:t xml:space="preserve"> </w:t>
      </w:r>
      <w:r w:rsidRPr="00E430B3">
        <w:t xml:space="preserve">de keuze van het monomeer en van </w:t>
      </w:r>
      <w:r>
        <w:t>d</w:t>
      </w:r>
      <w:r w:rsidRPr="00E430B3">
        <w:t>e</w:t>
      </w:r>
      <w:r>
        <w:t xml:space="preserve"> gemid</w:t>
      </w:r>
      <w:r w:rsidRPr="00E430B3">
        <w:t>delde</w:t>
      </w:r>
      <w:r>
        <w:t xml:space="preserve"> </w:t>
      </w:r>
      <w:r w:rsidRPr="00E430B3">
        <w:t>ketenlengte. Onder de ketenlengte verstaat men het aantal monomeermoleculen</w:t>
      </w:r>
      <w:r>
        <w:t xml:space="preserve"> waaruit één </w:t>
      </w:r>
      <w:r w:rsidRPr="00E430B3">
        <w:t xml:space="preserve">polymeerketen is gevormd. De in het reactieproduct nog aanwezige </w:t>
      </w:r>
      <w:r>
        <w:t>m</w:t>
      </w:r>
      <w:r w:rsidRPr="00E430B3">
        <w:t>onomeermoleculen</w:t>
      </w:r>
      <w:r>
        <w:t xml:space="preserve"> wor</w:t>
      </w:r>
      <w:r w:rsidRPr="00E430B3">
        <w:t>den opgevat als ketens met lengte één.</w:t>
      </w:r>
    </w:p>
    <w:p w:rsidR="00927959" w:rsidRPr="00E430B3" w:rsidRDefault="00927959" w:rsidP="00927959">
      <w:r w:rsidRPr="00E430B3">
        <w:t>Er zijn verschillende manieren om de gemiddelde molecuulmassa</w:t>
      </w:r>
      <w:r>
        <w:t xml:space="preserve"> </w:t>
      </w:r>
      <m:oMath>
        <m:acc>
          <m:accPr>
            <m:chr m:val="̅"/>
            <m:ctrlPr>
              <w:rPr>
                <w:rFonts w:ascii="Cambria Math" w:hAnsi="Cambria Math"/>
                <w:i/>
                <w:szCs w:val="24"/>
              </w:rPr>
            </m:ctrlPr>
          </m:accPr>
          <m:e>
            <m:r>
              <w:rPr>
                <w:rFonts w:ascii="Cambria Math" w:hAnsi="Cambria Math"/>
              </w:rPr>
              <m:t>M</m:t>
            </m:r>
          </m:e>
        </m:acc>
      </m:oMath>
      <w:r w:rsidRPr="00E430B3">
        <w:t>, en daarmee de gemiddelde ketenlengte, in een reactieprodu</w:t>
      </w:r>
      <w:r>
        <w:t>c</w:t>
      </w:r>
      <w:r w:rsidRPr="00E430B3">
        <w:t>t te, bepalen. De twee methoden</w:t>
      </w:r>
      <w:r>
        <w:t xml:space="preserve"> d</w:t>
      </w:r>
      <w:r w:rsidRPr="00E430B3">
        <w:t>ie hier ter sprake komen, geven meestal verschillende uitkomsten.</w:t>
      </w:r>
    </w:p>
    <w:p w:rsidR="00927959" w:rsidRPr="00E430B3" w:rsidRDefault="00927959" w:rsidP="00927959">
      <w:r w:rsidRPr="00E430B3">
        <w:t>Men onderzoekt het reactieproduct van een polymerisatie m</w:t>
      </w:r>
      <w:r>
        <w:t>e</w:t>
      </w:r>
      <w:r w:rsidRPr="00E430B3">
        <w:t>t etheen als uitgangsstof</w:t>
      </w:r>
      <w:r>
        <w:t>.</w:t>
      </w:r>
    </w:p>
    <w:p w:rsidR="00927959" w:rsidRPr="003D3B1F" w:rsidRDefault="00927959" w:rsidP="00927959">
      <w:pPr>
        <w:pStyle w:val="Bijschrift"/>
      </w:pPr>
      <w:r w:rsidRPr="003D3B1F">
        <w:t>Methode 1.</w:t>
      </w:r>
    </w:p>
    <w:p w:rsidR="00927959" w:rsidRPr="00E430B3" w:rsidRDefault="00927959" w:rsidP="00927959">
      <w:r w:rsidRPr="00E430B3">
        <w:t>Aangezien het reactieproduct oplosbaar is in 1,2-dibroomethaan, kan men de methode van de vriespuntsverlaging (v.p.v.) toepassen. Als men 0,98 gram oplost in 100 gram 1,2-dibroomethaan, vindt men een stolpunt van 9,700</w:t>
      </w:r>
      <w:r>
        <w:t xml:space="preserve"> </w:t>
      </w:r>
      <w:r w:rsidRPr="00E430B3">
        <w:t>°C (smpt</w:t>
      </w:r>
      <w:r>
        <w:t>.</w:t>
      </w:r>
      <w:r w:rsidRPr="00E430B3">
        <w:t xml:space="preserve"> van 1,2-dibroomethaan: 9,780</w:t>
      </w:r>
      <w:r>
        <w:t xml:space="preserve"> </w:t>
      </w:r>
      <w:r w:rsidRPr="00E430B3">
        <w:t>°C)</w:t>
      </w:r>
      <w:r>
        <w:t>.</w:t>
      </w:r>
      <w:r>
        <w:br/>
      </w:r>
      <w:r w:rsidRPr="00E430B3">
        <w:t>1 mol stof opgelost in 100 gram 1,2-dibroo</w:t>
      </w:r>
      <w:r>
        <w:t>m</w:t>
      </w:r>
      <w:r w:rsidRPr="00E430B3">
        <w:t>ethaan geeft een v.p.v. van 118</w:t>
      </w:r>
      <w:r>
        <w:t xml:space="preserve"> </w:t>
      </w:r>
      <w:r w:rsidRPr="00E430B3">
        <w:t>°C.</w:t>
      </w:r>
    </w:p>
    <w:p w:rsidR="00927959" w:rsidRPr="00927959" w:rsidRDefault="00927959" w:rsidP="00927959">
      <w:pPr>
        <w:pStyle w:val="CSElijst"/>
        <w:numPr>
          <w:ilvl w:val="0"/>
          <w:numId w:val="7"/>
        </w:numPr>
        <w:ind w:left="0" w:hanging="567"/>
        <w:rPr>
          <w:lang w:val="nl-NL"/>
        </w:rPr>
      </w:pPr>
      <w:r w:rsidRPr="00927959">
        <w:rPr>
          <w:lang w:val="nl-NL"/>
        </w:rPr>
        <w:t xml:space="preserve">Bereken de gemiddelde molecuulmassa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vpv</w:t>
      </w:r>
      <w:r w:rsidRPr="00927959">
        <w:rPr>
          <w:lang w:val="nl-NL"/>
        </w:rPr>
        <w:t xml:space="preserve"> uit deze gegevens.</w:t>
      </w:r>
    </w:p>
    <w:p w:rsidR="00927959" w:rsidRPr="00927959" w:rsidRDefault="00927959" w:rsidP="00927959">
      <w:pPr>
        <w:pStyle w:val="CSElijst"/>
        <w:numPr>
          <w:ilvl w:val="0"/>
          <w:numId w:val="7"/>
        </w:numPr>
        <w:ind w:left="0" w:hanging="567"/>
        <w:rPr>
          <w:lang w:val="nl-NL"/>
        </w:rPr>
      </w:pPr>
      <w:r w:rsidRPr="00927959">
        <w:rPr>
          <w:lang w:val="nl-NL"/>
        </w:rPr>
        <w:t>Bereken hieruit de gemiddelde ketenlengte.</w:t>
      </w:r>
    </w:p>
    <w:p w:rsidR="00927959" w:rsidRDefault="00927959" w:rsidP="00927959">
      <w:r>
        <w:br w:type="page"/>
      </w:r>
    </w:p>
    <w:p w:rsidR="00927959" w:rsidRPr="00E430B3" w:rsidRDefault="00927959" w:rsidP="00927959">
      <w:r w:rsidRPr="00E430B3">
        <w:lastRenderedPageBreak/>
        <w:t>Men kan uit het bovengenoemde reactieproduct al het ongepolymeriseerd</w:t>
      </w:r>
      <w:r>
        <w:t xml:space="preserve">e </w:t>
      </w:r>
      <w:r w:rsidRPr="00E430B3">
        <w:t>etheen terugwinnen.</w:t>
      </w:r>
    </w:p>
    <w:p w:rsidR="00927959" w:rsidRPr="00E430B3" w:rsidRDefault="00927959" w:rsidP="00927959">
      <w:r w:rsidRPr="00E430B3">
        <w:t>Dit blijkt tien procent van de oorspronkelijke hoeveelheid monomee</w:t>
      </w:r>
      <w:r>
        <w:t>r</w:t>
      </w:r>
      <w:r w:rsidRPr="00E430B3">
        <w:t xml:space="preserve"> te </w:t>
      </w:r>
      <w:r>
        <w:t>zi</w:t>
      </w:r>
      <w:r w:rsidRPr="00E430B3">
        <w:t>jn.</w:t>
      </w:r>
    </w:p>
    <w:p w:rsidR="00927959" w:rsidRPr="00E430B3" w:rsidRDefault="00927959" w:rsidP="00927959">
      <w:pPr>
        <w:pStyle w:val="CSElijst"/>
        <w:numPr>
          <w:ilvl w:val="0"/>
          <w:numId w:val="7"/>
        </w:numPr>
        <w:ind w:left="0" w:hanging="567"/>
      </w:pPr>
      <w:r w:rsidRPr="00927959">
        <w:rPr>
          <w:lang w:val="nl-NL"/>
        </w:rPr>
        <w:t xml:space="preserve">Is </w:t>
      </w:r>
      <m:oMath>
        <m:acc>
          <m:accPr>
            <m:chr m:val="̅"/>
            <m:ctrlPr>
              <w:rPr>
                <w:rFonts w:ascii="Cambria Math" w:hAnsi="Cambria Math"/>
                <w:i/>
                <w:szCs w:val="24"/>
              </w:rPr>
            </m:ctrlPr>
          </m:accPr>
          <m:e>
            <m:r>
              <w:rPr>
                <w:rFonts w:ascii="Cambria Math" w:hAnsi="Cambria Math"/>
              </w:rPr>
              <m:t>M</m:t>
            </m:r>
          </m:e>
        </m:acc>
      </m:oMath>
      <w:r w:rsidRPr="00927959">
        <w:rPr>
          <w:szCs w:val="24"/>
          <w:lang w:val="nl-NL"/>
        </w:rPr>
        <w:t xml:space="preserve"> </w:t>
      </w:r>
      <w:r w:rsidRPr="00927959">
        <w:rPr>
          <w:lang w:val="nl-NL"/>
        </w:rPr>
        <w:t xml:space="preserve">van het gepolymeriseerde deel van het reactieproduct groter of kleiner dan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vpv</w:t>
      </w:r>
      <w:r w:rsidRPr="00927959">
        <w:rPr>
          <w:lang w:val="nl-NL"/>
        </w:rPr>
        <w:t xml:space="preserve">?. </w:t>
      </w:r>
      <w:r w:rsidRPr="00E430B3">
        <w:t>Licht het antwoord toe.</w:t>
      </w:r>
    </w:p>
    <w:p w:rsidR="00927959" w:rsidRDefault="00927959" w:rsidP="00927959">
      <w:pPr>
        <w:pStyle w:val="CSElijst"/>
        <w:numPr>
          <w:ilvl w:val="0"/>
          <w:numId w:val="7"/>
        </w:numPr>
        <w:ind w:left="0" w:hanging="567"/>
      </w:pPr>
      <w:r w:rsidRPr="00927959">
        <w:rPr>
          <w:lang w:val="nl-NL"/>
        </w:rPr>
        <w:t xml:space="preserve">Verschilt </w:t>
      </w:r>
      <m:oMath>
        <m:acc>
          <m:accPr>
            <m:chr m:val="̅"/>
            <m:ctrlPr>
              <w:rPr>
                <w:rFonts w:ascii="Cambria Math" w:hAnsi="Cambria Math"/>
                <w:i/>
                <w:szCs w:val="24"/>
              </w:rPr>
            </m:ctrlPr>
          </m:accPr>
          <m:e>
            <m:r>
              <w:rPr>
                <w:rFonts w:ascii="Cambria Math" w:hAnsi="Cambria Math"/>
              </w:rPr>
              <m:t>M</m:t>
            </m:r>
          </m:e>
        </m:acc>
      </m:oMath>
      <w:r w:rsidRPr="00927959">
        <w:rPr>
          <w:lang w:val="nl-NL"/>
        </w:rPr>
        <w:t xml:space="preserve"> tien procent, meer dan tien procent of minder dan tien procent van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vpv</w:t>
      </w:r>
      <w:r w:rsidRPr="00927959">
        <w:rPr>
          <w:lang w:val="nl-NL"/>
        </w:rPr>
        <w:t xml:space="preserve">? </w:t>
      </w:r>
      <w:r>
        <w:t>Licht het antwoord toe.</w:t>
      </w:r>
    </w:p>
    <w:p w:rsidR="00927959" w:rsidRPr="003D3B1F" w:rsidRDefault="00927959" w:rsidP="00927959">
      <w:pPr>
        <w:rPr>
          <w:b/>
          <w:sz w:val="18"/>
        </w:rPr>
      </w:pPr>
      <w:r w:rsidRPr="003D3B1F">
        <w:rPr>
          <w:b/>
          <w:sz w:val="18"/>
        </w:rPr>
        <w:t>Methode 2.</w:t>
      </w:r>
    </w:p>
    <w:p w:rsidR="00927959" w:rsidRPr="00E430B3" w:rsidRDefault="00927959" w:rsidP="00927959">
      <w:r w:rsidRPr="00E430B3">
        <w:t>Een andere eigenschap die met de gemiddelde molecuulmassa van een</w:t>
      </w:r>
      <w:r>
        <w:t xml:space="preserve"> </w:t>
      </w:r>
      <w:r w:rsidRPr="00E430B3">
        <w:t>polymeer in verband staat, is de viscositeit of stroperigheid van zijn oplossing.</w:t>
      </w:r>
    </w:p>
    <w:p w:rsidR="00927959" w:rsidRPr="00E430B3" w:rsidRDefault="00927959" w:rsidP="00927959">
      <w:r w:rsidRPr="00E430B3">
        <w:t xml:space="preserve">Een oplossing die veel lange ketens bevat, stroomt veel trager door een capillair dan een oplossing van bijvoorbeeld monomeer. De viscositeit wordt vrijwel uitsluitend bepaald door de lange ketens. Men noteert de gemiddelde molecuulmassa die na berekening volgt uit de viscositeitsmetingen, als </w:t>
      </w:r>
      <m:oMath>
        <m:acc>
          <m:accPr>
            <m:chr m:val="̅"/>
            <m:ctrlPr>
              <w:rPr>
                <w:rFonts w:ascii="Cambria Math" w:hAnsi="Cambria Math"/>
                <w:i/>
                <w:szCs w:val="24"/>
              </w:rPr>
            </m:ctrlPr>
          </m:accPr>
          <m:e>
            <m:r>
              <w:rPr>
                <w:rFonts w:ascii="Cambria Math" w:hAnsi="Cambria Math"/>
              </w:rPr>
              <m:t>M</m:t>
            </m:r>
          </m:e>
        </m:acc>
      </m:oMath>
      <w:r w:rsidRPr="009A56CA">
        <w:rPr>
          <w:vertAlign w:val="subscript"/>
        </w:rPr>
        <w:t>v</w:t>
      </w:r>
      <w:r>
        <w:rPr>
          <w:vertAlign w:val="subscript"/>
        </w:rPr>
        <w:t>isc</w:t>
      </w:r>
      <w:r w:rsidRPr="00E430B3">
        <w:t>.</w:t>
      </w:r>
    </w:p>
    <w:p w:rsidR="00927959" w:rsidRPr="00E430B3" w:rsidRDefault="001F1C0A" w:rsidP="00927959">
      <m:oMath>
        <m:acc>
          <m:accPr>
            <m:chr m:val="̅"/>
            <m:ctrlPr>
              <w:rPr>
                <w:rFonts w:ascii="Cambria Math" w:hAnsi="Cambria Math"/>
                <w:i/>
                <w:szCs w:val="24"/>
              </w:rPr>
            </m:ctrlPr>
          </m:accPr>
          <m:e>
            <m:r>
              <w:rPr>
                <w:rFonts w:ascii="Cambria Math" w:hAnsi="Cambria Math"/>
              </w:rPr>
              <m:t>M</m:t>
            </m:r>
          </m:e>
        </m:acc>
      </m:oMath>
      <w:r w:rsidR="00927959" w:rsidRPr="009A56CA">
        <w:rPr>
          <w:vertAlign w:val="subscript"/>
        </w:rPr>
        <w:t>v</w:t>
      </w:r>
      <w:r w:rsidR="00927959">
        <w:rPr>
          <w:vertAlign w:val="subscript"/>
        </w:rPr>
        <w:t>isc</w:t>
      </w:r>
      <w:r w:rsidR="00927959" w:rsidRPr="00E430B3">
        <w:t xml:space="preserve"> is evenredig met de gemeten viscositeit.</w:t>
      </w:r>
    </w:p>
    <w:p w:rsidR="00927959" w:rsidRPr="00E430B3" w:rsidRDefault="00927959" w:rsidP="00927959">
      <w:pPr>
        <w:pStyle w:val="CSElijst"/>
        <w:numPr>
          <w:ilvl w:val="0"/>
          <w:numId w:val="7"/>
        </w:numPr>
        <w:ind w:left="0" w:hanging="567"/>
      </w:pPr>
      <w:r w:rsidRPr="00927959">
        <w:rPr>
          <w:lang w:val="nl-NL"/>
        </w:rPr>
        <w:t xml:space="preserve">Twee soorten polyetheen hebben eenzelfde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vpv</w:t>
      </w:r>
      <w:r w:rsidRPr="00927959">
        <w:rPr>
          <w:lang w:val="nl-NL"/>
        </w:rPr>
        <w:t xml:space="preserve">. Uit viscositeitsmetingen blijkt de ene soort polyetheen een veel hogere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visc</w:t>
      </w:r>
      <w:r w:rsidRPr="00927959">
        <w:rPr>
          <w:lang w:val="nl-NL"/>
        </w:rPr>
        <w:t xml:space="preserve"> te hebben dan de andere soort polyetheen. </w:t>
      </w:r>
      <w:r w:rsidRPr="00E430B3">
        <w:t>Welke conclusie trek je hieruit?</w:t>
      </w:r>
    </w:p>
    <w:p w:rsidR="00927959" w:rsidRPr="00927959" w:rsidRDefault="00927959" w:rsidP="001F1C0A">
      <w:pPr>
        <w:pStyle w:val="CSElijst"/>
        <w:numPr>
          <w:ilvl w:val="0"/>
          <w:numId w:val="7"/>
        </w:numPr>
        <w:ind w:left="0" w:hanging="567"/>
        <w:rPr>
          <w:lang w:val="nl-NL"/>
        </w:rPr>
      </w:pPr>
      <w:r w:rsidRPr="00927959">
        <w:rPr>
          <w:lang w:val="nl-NL"/>
        </w:rPr>
        <w:t xml:space="preserve">Als van een reactieproduct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visc</w:t>
      </w:r>
      <w:r w:rsidRPr="00927959">
        <w:rPr>
          <w:lang w:val="nl-NL"/>
        </w:rPr>
        <w:t xml:space="preserve"> vrijwel gelijk is aan </w:t>
      </w:r>
      <m:oMath>
        <m:acc>
          <m:accPr>
            <m:chr m:val="̅"/>
            <m:ctrlPr>
              <w:rPr>
                <w:rFonts w:ascii="Cambria Math" w:hAnsi="Cambria Math"/>
                <w:i/>
                <w:szCs w:val="24"/>
              </w:rPr>
            </m:ctrlPr>
          </m:accPr>
          <m:e>
            <m:r>
              <w:rPr>
                <w:rFonts w:ascii="Cambria Math" w:hAnsi="Cambria Math"/>
              </w:rPr>
              <m:t>M</m:t>
            </m:r>
          </m:e>
        </m:acc>
      </m:oMath>
      <w:r w:rsidRPr="00927959">
        <w:rPr>
          <w:vertAlign w:val="subscript"/>
          <w:lang w:val="nl-NL"/>
        </w:rPr>
        <w:t>vpv</w:t>
      </w:r>
      <w:r w:rsidRPr="00927959">
        <w:rPr>
          <w:lang w:val="nl-NL"/>
        </w:rPr>
        <w:t xml:space="preserve">, wat volgt daaruit dan over de ketenlengten? </w:t>
      </w:r>
      <w:r w:rsidRPr="00E430B3">
        <w:t>Licht je antwoord toe</w:t>
      </w:r>
    </w:p>
    <w:sectPr w:rsidR="00927959" w:rsidRPr="00927959" w:rsidSect="001F1C0A">
      <w:headerReference w:type="even" r:id="rId9"/>
      <w:headerReference w:type="default" r:id="rId10"/>
      <w:footerReference w:type="even" r:id="rId11"/>
      <w:footerReference w:type="default" r:id="rId12"/>
      <w:headerReference w:type="first" r:id="rId13"/>
      <w:footerReference w:type="first" r:id="rId14"/>
      <w:pgSz w:w="11904" w:h="16843"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E7" w:rsidRDefault="00DB6AE7" w:rsidP="00927959">
      <w:r>
        <w:separator/>
      </w:r>
    </w:p>
  </w:endnote>
  <w:endnote w:type="continuationSeparator" w:id="0">
    <w:p w:rsidR="00DB6AE7" w:rsidRDefault="00DB6AE7" w:rsidP="0092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A" w:rsidRDefault="001F1C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77532"/>
      <w:docPartObj>
        <w:docPartGallery w:val="Page Numbers (Bottom of Page)"/>
        <w:docPartUnique/>
      </w:docPartObj>
    </w:sdtPr>
    <w:sdtEndPr/>
    <w:sdtContent>
      <w:p w:rsidR="003F7D36" w:rsidRPr="002953DD" w:rsidRDefault="003F7D36" w:rsidP="0037019A">
        <w:pPr>
          <w:pStyle w:val="Voettekst"/>
        </w:pPr>
        <w:r w:rsidRPr="002953DD">
          <w:t>Sk-VWO 1974-I</w:t>
        </w:r>
        <w:r>
          <w:t>I</w:t>
        </w:r>
        <w:r w:rsidRPr="00D076A7">
          <w:t> </w:t>
        </w:r>
        <w:r w:rsidR="001F1C0A">
          <w:t>opgaven</w:t>
        </w:r>
        <w:bookmarkStart w:id="5" w:name="_GoBack"/>
        <w:bookmarkEnd w:id="5"/>
        <w:r w:rsidRPr="002953DD">
          <w:t>_PdG, juli 2017</w:t>
        </w:r>
        <w:r w:rsidRPr="002953DD">
          <w:tab/>
        </w:r>
        <w:r>
          <w:fldChar w:fldCharType="begin"/>
        </w:r>
        <w:r w:rsidRPr="002953DD">
          <w:instrText>PAGE   \* MERGEFORMAT</w:instrText>
        </w:r>
        <w:r>
          <w:fldChar w:fldCharType="separate"/>
        </w:r>
        <w:r w:rsidR="001F1C0A">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A" w:rsidRDefault="001F1C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E7" w:rsidRDefault="00DB6AE7" w:rsidP="00927959">
      <w:r>
        <w:separator/>
      </w:r>
    </w:p>
  </w:footnote>
  <w:footnote w:type="continuationSeparator" w:id="0">
    <w:p w:rsidR="00DB6AE7" w:rsidRDefault="00DB6AE7" w:rsidP="00927959">
      <w:r>
        <w:continuationSeparator/>
      </w:r>
    </w:p>
  </w:footnote>
  <w:footnote w:id="1">
    <w:p w:rsidR="00927959" w:rsidRPr="00E430B3" w:rsidRDefault="00927959" w:rsidP="00927959">
      <w:r>
        <w:rPr>
          <w:rStyle w:val="Voetnootmarkering"/>
        </w:rPr>
        <w:footnoteRef/>
      </w:r>
      <w:r>
        <w:t xml:space="preserve"> </w:t>
      </w:r>
      <w:r w:rsidRPr="00E430B3">
        <w:t>(s) betekent: vast</w:t>
      </w:r>
    </w:p>
    <w:p w:rsidR="00927959" w:rsidRDefault="00927959" w:rsidP="00927959">
      <w:pPr>
        <w:pStyle w:val="Voetnoottekst"/>
      </w:pPr>
      <w:r w:rsidRPr="00E430B3">
        <w:t>(aq) betekent: opgelost in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A" w:rsidRDefault="001F1C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A" w:rsidRDefault="001F1C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0A" w:rsidRDefault="001F1C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9"/>
    <w:lvlOverride w:ilvl="0">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59"/>
    <w:rsid w:val="000016CD"/>
    <w:rsid w:val="00095AFC"/>
    <w:rsid w:val="000C024B"/>
    <w:rsid w:val="001F1C0A"/>
    <w:rsid w:val="002B24C5"/>
    <w:rsid w:val="002C4923"/>
    <w:rsid w:val="00300992"/>
    <w:rsid w:val="00331832"/>
    <w:rsid w:val="003F7D36"/>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27959"/>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B6AE7"/>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D47E"/>
  <w15:chartTrackingRefBased/>
  <w15:docId w15:val="{326D16B2-8FF1-4402-9142-3EF3DF95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7959"/>
  </w:style>
  <w:style w:type="paragraph" w:styleId="Kop1">
    <w:name w:val="heading 1"/>
    <w:basedOn w:val="Standaard"/>
    <w:next w:val="Standaard"/>
    <w:link w:val="Kop1Char"/>
    <w:uiPriority w:val="9"/>
    <w:qFormat/>
    <w:rsid w:val="00927959"/>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927959"/>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927959"/>
    <w:rPr>
      <w:rFonts w:eastAsiaTheme="majorEastAsia"/>
      <w:sz w:val="32"/>
      <w:szCs w:val="32"/>
    </w:rPr>
  </w:style>
  <w:style w:type="character" w:customStyle="1" w:styleId="Kop2Char">
    <w:name w:val="Kop 2 Char"/>
    <w:basedOn w:val="Standaardalinea-lettertype"/>
    <w:link w:val="Kop2"/>
    <w:uiPriority w:val="9"/>
    <w:rsid w:val="00927959"/>
    <w:rPr>
      <w:rFonts w:ascii="Arial" w:eastAsia="Times New Roman" w:hAnsi="Arial" w:cs="Arial"/>
      <w:b/>
      <w:bCs/>
      <w:i/>
      <w:iCs/>
      <w:sz w:val="28"/>
      <w:szCs w:val="28"/>
      <w:lang w:eastAsia="nl-NL"/>
    </w:rPr>
  </w:style>
  <w:style w:type="paragraph" w:styleId="Voetnoottekst">
    <w:name w:val="footnote text"/>
    <w:basedOn w:val="Standaard"/>
    <w:link w:val="VoetnoottekstChar"/>
    <w:semiHidden/>
    <w:unhideWhenUsed/>
    <w:rsid w:val="00927959"/>
    <w:rPr>
      <w:sz w:val="20"/>
      <w:szCs w:val="20"/>
    </w:rPr>
  </w:style>
  <w:style w:type="character" w:customStyle="1" w:styleId="VoetnoottekstChar">
    <w:name w:val="Voetnoottekst Char"/>
    <w:basedOn w:val="Standaardalinea-lettertype"/>
    <w:link w:val="Voetnoottekst"/>
    <w:semiHidden/>
    <w:rsid w:val="00927959"/>
    <w:rPr>
      <w:sz w:val="20"/>
      <w:szCs w:val="20"/>
    </w:rPr>
  </w:style>
  <w:style w:type="character" w:styleId="Voetnootmarkering">
    <w:name w:val="footnote reference"/>
    <w:basedOn w:val="Standaardalinea-lettertype"/>
    <w:semiHidden/>
    <w:unhideWhenUsed/>
    <w:rsid w:val="00927959"/>
    <w:rPr>
      <w:vertAlign w:val="superscript"/>
    </w:rPr>
  </w:style>
  <w:style w:type="paragraph" w:styleId="Bijschrift">
    <w:name w:val="caption"/>
    <w:basedOn w:val="Standaard"/>
    <w:next w:val="Standaard"/>
    <w:uiPriority w:val="35"/>
    <w:qFormat/>
    <w:rsid w:val="00927959"/>
    <w:pPr>
      <w:autoSpaceDE w:val="0"/>
      <w:autoSpaceDN w:val="0"/>
      <w:adjustRightInd w:val="0"/>
      <w:spacing w:before="120"/>
    </w:pPr>
    <w:rPr>
      <w:rFonts w:eastAsia="Times New Roman"/>
      <w:b/>
      <w:bCs/>
      <w:i/>
      <w:sz w:val="18"/>
      <w:szCs w:val="20"/>
      <w:lang w:eastAsia="nl-NL"/>
    </w:rPr>
  </w:style>
  <w:style w:type="paragraph" w:styleId="Koptekst">
    <w:name w:val="header"/>
    <w:basedOn w:val="Standaard"/>
    <w:link w:val="KoptekstChar"/>
    <w:uiPriority w:val="99"/>
    <w:unhideWhenUsed/>
    <w:rsid w:val="003F7D36"/>
    <w:pPr>
      <w:tabs>
        <w:tab w:val="center" w:pos="4536"/>
        <w:tab w:val="right" w:pos="9072"/>
      </w:tabs>
    </w:pPr>
  </w:style>
  <w:style w:type="character" w:customStyle="1" w:styleId="KoptekstChar">
    <w:name w:val="Koptekst Char"/>
    <w:basedOn w:val="Standaardalinea-lettertype"/>
    <w:link w:val="Koptekst"/>
    <w:uiPriority w:val="99"/>
    <w:rsid w:val="003F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2017-10-17T21:02:00Z</dcterms:created>
  <dcterms:modified xsi:type="dcterms:W3CDTF">2017-10-17T21:02:00Z</dcterms:modified>
</cp:coreProperties>
</file>