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7EF" w:rsidRDefault="009517EF" w:rsidP="009517EF">
      <w:pPr>
        <w:kinsoku w:val="0"/>
        <w:overflowPunct w:val="0"/>
        <w:textAlignment w:val="baseline"/>
        <w:rPr>
          <w:bCs/>
        </w:rPr>
      </w:pPr>
      <w:bookmarkStart w:id="0" w:name="_GoBack"/>
      <w:bookmarkEnd w:id="0"/>
      <w:r w:rsidRPr="007D12F1">
        <w:rPr>
          <w:bCs/>
        </w:rPr>
        <w:t>EXAMEN SCHEIKUNDE VWO 1975</w:t>
      </w:r>
      <w:r>
        <w:rPr>
          <w:bCs/>
        </w:rPr>
        <w:t xml:space="preserve">, </w:t>
      </w:r>
      <w:r w:rsidRPr="007D12F1">
        <w:rPr>
          <w:bCs/>
        </w:rPr>
        <w:t>TWEEDE TIJDVAK</w:t>
      </w:r>
      <w:r>
        <w:rPr>
          <w:bCs/>
        </w:rPr>
        <w:t>, uitwerkingen</w:t>
      </w:r>
    </w:p>
    <w:bookmarkStart w:id="1" w:name="_Toc490827181"/>
    <w:p w:rsidR="009517EF" w:rsidRPr="007D12F1" w:rsidRDefault="009517EF" w:rsidP="009517EF">
      <w:pPr>
        <w:pStyle w:val="Kop2"/>
      </w:pPr>
      <w:r w:rsidRPr="0018005E">
        <w:rPr>
          <w:noProof/>
        </w:rPr>
        <mc:AlternateContent>
          <mc:Choice Requires="wps">
            <w:drawing>
              <wp:anchor distT="0" distB="0" distL="0" distR="0" simplePos="0" relativeHeight="251666432" behindDoc="0" locked="0" layoutInCell="0" allowOverlap="1" wp14:anchorId="0959FEF3" wp14:editId="5C966793">
                <wp:simplePos x="0" y="0"/>
                <wp:positionH relativeFrom="margin">
                  <wp:posOffset>-227491</wp:posOffset>
                </wp:positionH>
                <wp:positionV relativeFrom="paragraph">
                  <wp:posOffset>427355</wp:posOffset>
                </wp:positionV>
                <wp:extent cx="6172835" cy="0"/>
                <wp:effectExtent l="0" t="19050" r="56515" b="38100"/>
                <wp:wrapSquare wrapText="bothSides"/>
                <wp:docPr id="3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DE46A" id="Line 2" o:spid="_x0000_s1026" style="position:absolute;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9pt,33.65pt" to="468.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Xh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" o:allowincell="f" strokecolor="silver" strokeweight="4.8pt">
                <w10:wrap type="square" anchorx="margin"/>
              </v:line>
            </w:pict>
          </mc:Fallback>
        </mc:AlternateContent>
      </w:r>
      <w:r>
        <w:t>Zilverbepaling</w:t>
      </w:r>
      <w:r>
        <w:tab/>
        <w:t>1975-II(I)</w:t>
      </w:r>
      <w:bookmarkEnd w:id="1"/>
    </w:p>
    <w:p w:rsidR="009517EF" w:rsidRPr="009517EF" w:rsidRDefault="009517EF" w:rsidP="009517EF">
      <w:pPr>
        <w:pStyle w:val="CSElijst"/>
        <w:numPr>
          <w:ilvl w:val="0"/>
          <w:numId w:val="21"/>
        </w:numPr>
        <w:ind w:left="0" w:hanging="567"/>
        <w:rPr>
          <w:lang w:val="nl-NL"/>
        </w:rPr>
      </w:pPr>
      <w:r w:rsidRPr="009517EF">
        <w:rPr>
          <w:lang w:val="nl-NL"/>
        </w:rPr>
        <w:t>1. Ag</w:t>
      </w:r>
      <w:r w:rsidRPr="009517EF">
        <w:rPr>
          <w:vertAlign w:val="superscript"/>
          <w:lang w:val="nl-NL"/>
        </w:rPr>
        <w:t>+</w:t>
      </w:r>
      <w:r w:rsidRPr="009517EF">
        <w:rPr>
          <w:lang w:val="nl-NL"/>
        </w:rPr>
        <w:t>(aq) + SCN</w:t>
      </w:r>
      <w:r w:rsidRPr="005349CD">
        <w:rPr>
          <w:rFonts w:ascii="Symbol" w:hAnsi="Symbol"/>
          <w:vertAlign w:val="superscript"/>
        </w:rPr>
        <w:t></w:t>
      </w:r>
      <w:r w:rsidRPr="009517EF">
        <w:rPr>
          <w:lang w:val="nl-NL"/>
        </w:rPr>
        <w:t xml:space="preserve">(aq) </w:t>
      </w:r>
      <w:r w:rsidRPr="009517EF">
        <w:rPr>
          <w:rFonts w:ascii="Cambria Math" w:hAnsi="Cambria Math"/>
          <w:lang w:val="nl-NL"/>
        </w:rPr>
        <w:t>⇌</w:t>
      </w:r>
      <w:r w:rsidRPr="009517EF">
        <w:rPr>
          <w:lang w:val="nl-NL"/>
        </w:rPr>
        <w:t xml:space="preserve"> AgSCN(s)</w:t>
      </w:r>
    </w:p>
    <w:p w:rsidR="009517EF" w:rsidRPr="007D12F1" w:rsidRDefault="009517EF" w:rsidP="009517EF">
      <w:pPr>
        <w:tabs>
          <w:tab w:val="left" w:pos="2592"/>
        </w:tabs>
        <w:kinsoku w:val="0"/>
        <w:overflowPunct w:val="0"/>
        <w:textAlignment w:val="baseline"/>
      </w:pPr>
      <w:r w:rsidRPr="007D12F1">
        <w:t>2. Fe</w:t>
      </w:r>
      <w:r w:rsidRPr="007D12F1">
        <w:rPr>
          <w:vertAlign w:val="superscript"/>
        </w:rPr>
        <w:t>3</w:t>
      </w:r>
      <w:r w:rsidRPr="00F11A5C">
        <w:rPr>
          <w:vertAlign w:val="superscript"/>
        </w:rPr>
        <w:t>+</w:t>
      </w:r>
      <w:r>
        <w:t>(</w:t>
      </w:r>
      <w:r w:rsidRPr="007D12F1">
        <w:t>aq) + SCN</w:t>
      </w:r>
      <w:r w:rsidRPr="008D320A">
        <w:rPr>
          <w:rFonts w:ascii="Symbol" w:hAnsi="Symbol"/>
          <w:vertAlign w:val="superscript"/>
        </w:rPr>
        <w:t></w:t>
      </w:r>
      <w:r w:rsidRPr="007D12F1">
        <w:t>(aq)</w:t>
      </w:r>
      <w:r>
        <w:t xml:space="preserve"> </w:t>
      </w:r>
      <w:r>
        <w:rPr>
          <w:rFonts w:ascii="Cambria Math" w:hAnsi="Cambria Math"/>
        </w:rPr>
        <w:t>⇌</w:t>
      </w:r>
      <w:r>
        <w:t xml:space="preserve"> </w:t>
      </w:r>
      <w:r w:rsidRPr="007D12F1">
        <w:t>FeSCN</w:t>
      </w:r>
      <w:r w:rsidRPr="007D12F1">
        <w:rPr>
          <w:vertAlign w:val="superscript"/>
        </w:rPr>
        <w:t>2+</w:t>
      </w:r>
      <w:r w:rsidRPr="007D12F1">
        <w:t>(aq)</w:t>
      </w:r>
    </w:p>
    <w:p w:rsidR="009517EF" w:rsidRPr="009517EF" w:rsidRDefault="009517EF" w:rsidP="009517EF">
      <w:pPr>
        <w:pStyle w:val="CSElijst"/>
        <w:numPr>
          <w:ilvl w:val="0"/>
          <w:numId w:val="7"/>
        </w:numPr>
        <w:ind w:left="0" w:hanging="567"/>
        <w:rPr>
          <w:lang w:val="nl-NL"/>
        </w:rPr>
      </w:pPr>
      <w:r w:rsidRPr="009517EF">
        <w:rPr>
          <w:lang w:val="nl-NL"/>
        </w:rPr>
        <w:t>Het equivalentiepunt is bereikt als er evenveel mol SCN</w:t>
      </w:r>
      <w:r w:rsidRPr="008D320A">
        <w:rPr>
          <w:rFonts w:ascii="Symbol" w:hAnsi="Symbol"/>
          <w:vertAlign w:val="superscript"/>
        </w:rPr>
        <w:t></w:t>
      </w:r>
      <w:r w:rsidRPr="009517EF">
        <w:rPr>
          <w:lang w:val="nl-NL"/>
        </w:rPr>
        <w:t>-ionen is toegevoegd als er mol Ag</w:t>
      </w:r>
      <w:r w:rsidRPr="009517EF">
        <w:rPr>
          <w:vertAlign w:val="superscript"/>
          <w:lang w:val="nl-NL"/>
        </w:rPr>
        <w:t>+</w:t>
      </w:r>
      <w:r w:rsidRPr="009517EF">
        <w:rPr>
          <w:lang w:val="nl-NL"/>
        </w:rPr>
        <w:t>-ionen in de oplossing aanwezig was. De aan het neerslag geadsorbeerde Ag</w:t>
      </w:r>
      <w:r w:rsidRPr="009517EF">
        <w:rPr>
          <w:vertAlign w:val="superscript"/>
          <w:lang w:val="nl-NL"/>
        </w:rPr>
        <w:t>+</w:t>
      </w:r>
      <w:r w:rsidRPr="009517EF">
        <w:rPr>
          <w:lang w:val="nl-NL"/>
        </w:rPr>
        <w:t>-ionen onttrekken zich aan reactie met SCN</w:t>
      </w:r>
      <w:r w:rsidRPr="008D320A">
        <w:rPr>
          <w:rFonts w:ascii="Symbol" w:hAnsi="Symbol"/>
          <w:vertAlign w:val="superscript"/>
        </w:rPr>
        <w:t></w:t>
      </w:r>
      <w:r w:rsidRPr="009517EF">
        <w:rPr>
          <w:lang w:val="nl-NL"/>
        </w:rPr>
        <w:t>-ionen. Deze SCN</w:t>
      </w:r>
      <w:r w:rsidRPr="008D320A">
        <w:rPr>
          <w:rFonts w:ascii="Symbol" w:hAnsi="Symbol"/>
          <w:vertAlign w:val="superscript"/>
        </w:rPr>
        <w:t></w:t>
      </w:r>
      <w:r w:rsidRPr="009517EF">
        <w:rPr>
          <w:lang w:val="nl-NL"/>
        </w:rPr>
        <w:t>-ionen (die eigenlijk met de geadsorbeerde Ag</w:t>
      </w:r>
      <w:r w:rsidRPr="009517EF">
        <w:rPr>
          <w:vertAlign w:val="superscript"/>
          <w:lang w:val="nl-NL"/>
        </w:rPr>
        <w:t>+</w:t>
      </w:r>
      <w:r w:rsidRPr="009517EF">
        <w:rPr>
          <w:lang w:val="nl-NL"/>
        </w:rPr>
        <w:t xml:space="preserve"> hadden moeten reageren) vormen nu al een rood complex met </w:t>
      </w:r>
      <w:r w:rsidRPr="009517EF">
        <w:rPr>
          <w:szCs w:val="22"/>
          <w:lang w:val="nl-NL"/>
        </w:rPr>
        <w:t>Fe</w:t>
      </w:r>
      <w:r w:rsidRPr="009517EF">
        <w:rPr>
          <w:szCs w:val="22"/>
          <w:vertAlign w:val="superscript"/>
          <w:lang w:val="nl-NL"/>
        </w:rPr>
        <w:t>3+</w:t>
      </w:r>
      <w:r w:rsidRPr="009517EF">
        <w:rPr>
          <w:lang w:val="nl-NL"/>
        </w:rPr>
        <w:t>-ionen, nog voordat het equivalentiepunt bereikt is.</w:t>
      </w:r>
    </w:p>
    <w:p w:rsidR="009517EF" w:rsidRPr="009517EF" w:rsidRDefault="009517EF" w:rsidP="009517EF">
      <w:pPr>
        <w:pStyle w:val="CSElijst"/>
        <w:numPr>
          <w:ilvl w:val="0"/>
          <w:numId w:val="7"/>
        </w:numPr>
        <w:ind w:left="0" w:hanging="567"/>
        <w:rPr>
          <w:szCs w:val="22"/>
          <w:lang w:val="nl-NL"/>
        </w:rPr>
      </w:pPr>
      <w:r w:rsidRPr="009517EF">
        <w:rPr>
          <w:lang w:val="nl-NL"/>
        </w:rPr>
        <w:t xml:space="preserve">Wanneer de oplossing begint rood te kleuren zijn beide in </w:t>
      </w:r>
      <w:r w:rsidRPr="009517EF">
        <w:rPr>
          <w:i/>
          <w:lang w:val="nl-NL"/>
        </w:rPr>
        <w:t>a</w:t>
      </w:r>
      <w:r w:rsidRPr="009517EF">
        <w:rPr>
          <w:lang w:val="nl-NL"/>
        </w:rPr>
        <w:t>. genoemde evenwichten in de oplossing ‘in bedrijf’ en via [SCN</w:t>
      </w:r>
      <w:r w:rsidRPr="00F11A5C">
        <w:rPr>
          <w:rFonts w:ascii="Symbol" w:hAnsi="Symbol"/>
          <w:vertAlign w:val="superscript"/>
        </w:rPr>
        <w:t></w:t>
      </w:r>
      <w:r w:rsidRPr="009517EF">
        <w:rPr>
          <w:lang w:val="nl-NL"/>
        </w:rPr>
        <w:t>] aan elkaar gekoppeld, want deze [SCN</w:t>
      </w:r>
      <w:r w:rsidRPr="00F11A5C">
        <w:rPr>
          <w:rFonts w:ascii="Symbol" w:hAnsi="Symbol"/>
          <w:vertAlign w:val="superscript"/>
        </w:rPr>
        <w:t></w:t>
      </w:r>
      <w:r w:rsidRPr="009517EF">
        <w:rPr>
          <w:lang w:val="nl-NL"/>
        </w:rPr>
        <w:t>] wordt door beide evenwichten tegelijkertijd bepaald.</w:t>
      </w:r>
      <w:r w:rsidRPr="009517EF">
        <w:rPr>
          <w:lang w:val="nl-NL"/>
        </w:rPr>
        <w:br/>
      </w:r>
      <w:r w:rsidRPr="009517EF">
        <w:rPr>
          <w:szCs w:val="22"/>
          <w:lang w:val="nl-NL"/>
        </w:rPr>
        <w:t xml:space="preserve">Als door goed schudden de geadsorbeerde </w:t>
      </w:r>
      <w:r w:rsidRPr="009517EF">
        <w:rPr>
          <w:lang w:val="nl-NL"/>
        </w:rPr>
        <w:t>Ag</w:t>
      </w:r>
      <w:r w:rsidRPr="009517EF">
        <w:rPr>
          <w:vertAlign w:val="superscript"/>
          <w:lang w:val="nl-NL"/>
        </w:rPr>
        <w:t>+</w:t>
      </w:r>
      <w:r w:rsidRPr="009517EF">
        <w:rPr>
          <w:lang w:val="nl-NL"/>
        </w:rPr>
        <w:t>-</w:t>
      </w:r>
      <w:r w:rsidRPr="009517EF">
        <w:rPr>
          <w:szCs w:val="22"/>
          <w:lang w:val="nl-NL"/>
        </w:rPr>
        <w:t xml:space="preserve">ionen weer in de oplossing vrijkomen, zal evenwicht </w:t>
      </w:r>
      <w:r w:rsidRPr="009517EF">
        <w:rPr>
          <w:i/>
          <w:szCs w:val="22"/>
          <w:lang w:val="nl-NL"/>
        </w:rPr>
        <w:t>a</w:t>
      </w:r>
      <w:r w:rsidRPr="009517EF">
        <w:rPr>
          <w:szCs w:val="22"/>
          <w:lang w:val="nl-NL"/>
        </w:rPr>
        <w:t>.1 verstoord worden en naar rechts verschuiven, hetgeen verkleining van [SCN</w:t>
      </w:r>
      <w:r w:rsidRPr="00F11A5C">
        <w:rPr>
          <w:rFonts w:ascii="Symbol" w:hAnsi="Symbol"/>
          <w:szCs w:val="22"/>
          <w:vertAlign w:val="superscript"/>
        </w:rPr>
        <w:t></w:t>
      </w:r>
      <w:r w:rsidRPr="009517EF">
        <w:rPr>
          <w:szCs w:val="22"/>
          <w:lang w:val="nl-NL"/>
        </w:rPr>
        <w:t xml:space="preserve">] veroorzaakt en evenwicht </w:t>
      </w:r>
      <w:r w:rsidRPr="009517EF">
        <w:rPr>
          <w:i/>
          <w:szCs w:val="22"/>
          <w:lang w:val="nl-NL"/>
        </w:rPr>
        <w:t>a</w:t>
      </w:r>
      <w:r w:rsidRPr="009517EF">
        <w:rPr>
          <w:szCs w:val="22"/>
          <w:lang w:val="nl-NL"/>
        </w:rPr>
        <w:t>.2 dwingt naar links te verschuiven, zodat de rode kleur van Fe(SCN)</w:t>
      </w:r>
      <w:r w:rsidRPr="009517EF">
        <w:rPr>
          <w:szCs w:val="22"/>
          <w:vertAlign w:val="superscript"/>
          <w:lang w:val="nl-NL"/>
        </w:rPr>
        <w:t>2+</w:t>
      </w:r>
      <w:r w:rsidRPr="009517EF">
        <w:rPr>
          <w:szCs w:val="22"/>
          <w:lang w:val="nl-NL"/>
        </w:rPr>
        <w:t>(aq) verdwijnt.</w:t>
      </w:r>
    </w:p>
    <w:p w:rsidR="009517EF" w:rsidRPr="009517EF" w:rsidRDefault="009517EF" w:rsidP="009517EF">
      <w:pPr>
        <w:pStyle w:val="CSElijst"/>
        <w:numPr>
          <w:ilvl w:val="0"/>
          <w:numId w:val="7"/>
        </w:numPr>
        <w:ind w:left="0" w:hanging="567"/>
        <w:rPr>
          <w:lang w:val="nl-NL"/>
        </w:rPr>
      </w:pPr>
      <w:r w:rsidRPr="009517EF">
        <w:rPr>
          <w:lang w:val="nl-NL"/>
        </w:rPr>
        <w:t>CO</w:t>
      </w:r>
      <w:r w:rsidRPr="009517EF">
        <w:rPr>
          <w:vertAlign w:val="subscript"/>
          <w:lang w:val="nl-NL"/>
        </w:rPr>
        <w:t>3</w:t>
      </w:r>
      <w:r w:rsidRPr="009517EF">
        <w:rPr>
          <w:vertAlign w:val="superscript"/>
          <w:lang w:val="nl-NL"/>
        </w:rPr>
        <w:t>2</w:t>
      </w:r>
      <w:r>
        <w:rPr>
          <w:vertAlign w:val="superscript"/>
          <w:lang w:val="en-US"/>
        </w:rPr>
        <w:sym w:font="Symbol" w:char="F02D"/>
      </w:r>
      <w:r w:rsidRPr="009517EF">
        <w:rPr>
          <w:lang w:val="nl-NL"/>
        </w:rPr>
        <w:t>(aq) + 2 H</w:t>
      </w:r>
      <w:r w:rsidRPr="009517EF">
        <w:rPr>
          <w:vertAlign w:val="subscript"/>
          <w:lang w:val="nl-NL"/>
        </w:rPr>
        <w:t>3</w:t>
      </w:r>
      <w:r w:rsidRPr="009517EF">
        <w:rPr>
          <w:lang w:val="nl-NL"/>
        </w:rPr>
        <w:t>O</w:t>
      </w:r>
      <w:r w:rsidRPr="009517EF">
        <w:rPr>
          <w:vertAlign w:val="superscript"/>
          <w:lang w:val="nl-NL"/>
        </w:rPr>
        <w:t>+</w:t>
      </w:r>
      <w:r w:rsidRPr="009517EF">
        <w:rPr>
          <w:lang w:val="nl-NL"/>
        </w:rPr>
        <w:t>(aq)</w:t>
      </w:r>
      <w:r w:rsidRPr="009517EF">
        <w:rPr>
          <w:lang w:val="nl-NL"/>
        </w:rPr>
        <w:tab/>
      </w:r>
      <w:r w:rsidRPr="009517EF">
        <w:rPr>
          <w:rFonts w:ascii="Cambria Math" w:hAnsi="Cambria Math"/>
          <w:lang w:val="nl-NL"/>
        </w:rPr>
        <w:t>⇌</w:t>
      </w:r>
      <w:r w:rsidRPr="009517EF">
        <w:rPr>
          <w:lang w:val="nl-NL"/>
        </w:rPr>
        <w:t xml:space="preserve"> 3 H</w:t>
      </w:r>
      <w:r w:rsidRPr="009517EF">
        <w:rPr>
          <w:vertAlign w:val="subscript"/>
          <w:lang w:val="nl-NL"/>
        </w:rPr>
        <w:t>2</w:t>
      </w:r>
      <w:r w:rsidRPr="009517EF">
        <w:rPr>
          <w:lang w:val="nl-NL"/>
        </w:rPr>
        <w:t>O(l) + CO</w:t>
      </w:r>
      <w:r w:rsidRPr="009517EF">
        <w:rPr>
          <w:vertAlign w:val="subscript"/>
          <w:lang w:val="nl-NL"/>
        </w:rPr>
        <w:t>2</w:t>
      </w:r>
      <w:r w:rsidRPr="009517EF">
        <w:rPr>
          <w:lang w:val="nl-NL"/>
        </w:rPr>
        <w:t>(g)</w:t>
      </w:r>
      <w:r w:rsidRPr="009517EF">
        <w:rPr>
          <w:lang w:val="nl-NL"/>
        </w:rPr>
        <w:br/>
        <w:t>Ag</w:t>
      </w:r>
      <w:r w:rsidRPr="009517EF">
        <w:rPr>
          <w:vertAlign w:val="superscript"/>
          <w:lang w:val="nl-NL"/>
        </w:rPr>
        <w:t>+</w:t>
      </w:r>
      <w:r w:rsidRPr="009517EF">
        <w:rPr>
          <w:lang w:val="nl-NL"/>
        </w:rPr>
        <w:t>(aq) + Cl</w:t>
      </w:r>
      <w:r w:rsidRPr="005E7800">
        <w:rPr>
          <w:vertAlign w:val="superscript"/>
        </w:rPr>
        <w:sym w:font="Symbol" w:char="F02D"/>
      </w:r>
      <w:r w:rsidRPr="009517EF">
        <w:rPr>
          <w:lang w:val="nl-NL"/>
        </w:rPr>
        <w:t>(aq)</w:t>
      </w:r>
      <w:r w:rsidRPr="009517EF">
        <w:rPr>
          <w:lang w:val="nl-NL"/>
        </w:rPr>
        <w:tab/>
      </w:r>
      <w:r w:rsidRPr="009517EF">
        <w:rPr>
          <w:rFonts w:ascii="Cambria Math" w:hAnsi="Cambria Math"/>
          <w:lang w:val="nl-NL"/>
        </w:rPr>
        <w:t xml:space="preserve">⇌ </w:t>
      </w:r>
      <w:r w:rsidRPr="009517EF">
        <w:rPr>
          <w:lang w:val="nl-NL"/>
        </w:rPr>
        <w:t>AgCl(s)</w:t>
      </w:r>
      <w:r w:rsidRPr="009517EF">
        <w:rPr>
          <w:lang w:val="nl-NL"/>
        </w:rPr>
        <w:br/>
        <w:t>Ag</w:t>
      </w:r>
      <w:r w:rsidRPr="009517EF">
        <w:rPr>
          <w:vertAlign w:val="superscript"/>
          <w:lang w:val="nl-NL"/>
        </w:rPr>
        <w:t>+</w:t>
      </w:r>
      <w:r w:rsidRPr="009517EF">
        <w:rPr>
          <w:lang w:val="nl-NL"/>
        </w:rPr>
        <w:t>(aq) + SCN</w:t>
      </w:r>
      <w:r w:rsidRPr="005E7800">
        <w:rPr>
          <w:rFonts w:ascii="Symbol" w:hAnsi="Symbol"/>
          <w:vertAlign w:val="superscript"/>
        </w:rPr>
        <w:t></w:t>
      </w:r>
      <w:r w:rsidRPr="009517EF">
        <w:rPr>
          <w:lang w:val="nl-NL"/>
        </w:rPr>
        <w:t>(aq)</w:t>
      </w:r>
      <w:r w:rsidRPr="009517EF">
        <w:rPr>
          <w:lang w:val="nl-NL"/>
        </w:rPr>
        <w:tab/>
      </w:r>
      <w:r w:rsidRPr="009517EF">
        <w:rPr>
          <w:rFonts w:ascii="Cambria Math" w:hAnsi="Cambria Math"/>
          <w:lang w:val="nl-NL"/>
        </w:rPr>
        <w:t xml:space="preserve">⇌ </w:t>
      </w:r>
      <w:r w:rsidRPr="009517EF">
        <w:rPr>
          <w:lang w:val="nl-NL"/>
        </w:rPr>
        <w:t>AgSCN(s)</w:t>
      </w:r>
      <w:r w:rsidRPr="009517EF">
        <w:rPr>
          <w:lang w:val="nl-NL"/>
        </w:rPr>
        <w:br/>
        <w:t>Fe</w:t>
      </w:r>
      <w:r w:rsidRPr="009517EF">
        <w:rPr>
          <w:vertAlign w:val="superscript"/>
          <w:lang w:val="nl-NL"/>
        </w:rPr>
        <w:t>3+</w:t>
      </w:r>
      <w:r w:rsidRPr="009517EF">
        <w:rPr>
          <w:lang w:val="nl-NL"/>
        </w:rPr>
        <w:t>(aq) + SCN</w:t>
      </w:r>
      <w:r w:rsidRPr="005E7800">
        <w:rPr>
          <w:rFonts w:ascii="Symbol" w:hAnsi="Symbol"/>
          <w:vertAlign w:val="superscript"/>
        </w:rPr>
        <w:t></w:t>
      </w:r>
      <w:r w:rsidRPr="009517EF">
        <w:rPr>
          <w:lang w:val="nl-NL"/>
        </w:rPr>
        <w:t>(aq)</w:t>
      </w:r>
      <w:r w:rsidRPr="009517EF">
        <w:rPr>
          <w:lang w:val="nl-NL"/>
        </w:rPr>
        <w:tab/>
      </w:r>
      <w:r w:rsidRPr="009517EF">
        <w:rPr>
          <w:rFonts w:ascii="Cambria Math" w:hAnsi="Cambria Math"/>
          <w:lang w:val="nl-NL"/>
        </w:rPr>
        <w:t xml:space="preserve">⇌ </w:t>
      </w:r>
      <w:r w:rsidRPr="009517EF">
        <w:rPr>
          <w:lang w:val="nl-NL"/>
        </w:rPr>
        <w:t>FeSCN</w:t>
      </w:r>
      <w:r w:rsidRPr="009517EF">
        <w:rPr>
          <w:vertAlign w:val="superscript"/>
          <w:lang w:val="nl-NL"/>
        </w:rPr>
        <w:t>2+</w:t>
      </w:r>
      <w:r w:rsidRPr="009517EF">
        <w:rPr>
          <w:lang w:val="nl-NL"/>
        </w:rPr>
        <w:t>(aq)</w:t>
      </w:r>
    </w:p>
    <w:p w:rsidR="009517EF" w:rsidRPr="00222BA4" w:rsidRDefault="009517EF" w:rsidP="009517EF">
      <w:pPr>
        <w:pStyle w:val="CSElijst"/>
        <w:numPr>
          <w:ilvl w:val="0"/>
          <w:numId w:val="7"/>
        </w:numPr>
        <w:ind w:left="0" w:hanging="567"/>
        <w:rPr>
          <w:szCs w:val="22"/>
        </w:rPr>
      </w:pPr>
      <w:r w:rsidRPr="009517EF">
        <w:rPr>
          <w:lang w:val="nl-NL"/>
        </w:rPr>
        <w:t>De Cl</w:t>
      </w:r>
      <w:r>
        <w:rPr>
          <w:vertAlign w:val="superscript"/>
        </w:rPr>
        <w:sym w:font="Symbol" w:char="F02D"/>
      </w:r>
      <w:r w:rsidRPr="009517EF">
        <w:rPr>
          <w:lang w:val="nl-NL"/>
        </w:rPr>
        <w:t>-ionen slaan neer samen met Ag</w:t>
      </w:r>
      <w:r w:rsidRPr="009517EF">
        <w:rPr>
          <w:vertAlign w:val="superscript"/>
          <w:lang w:val="nl-NL"/>
        </w:rPr>
        <w:t>+</w:t>
      </w:r>
      <w:r w:rsidRPr="009517EF">
        <w:rPr>
          <w:lang w:val="nl-NL"/>
        </w:rPr>
        <w:t>-ionen. De overmaat Ag</w:t>
      </w:r>
      <w:r w:rsidRPr="009517EF">
        <w:rPr>
          <w:vertAlign w:val="superscript"/>
          <w:lang w:val="nl-NL"/>
        </w:rPr>
        <w:t>+</w:t>
      </w:r>
      <w:r w:rsidRPr="009517EF">
        <w:rPr>
          <w:lang w:val="nl-NL"/>
        </w:rPr>
        <w:t>-ionen wordt (na goed wassen van het neerslag) in het filtraat teruggevonden.</w:t>
      </w:r>
      <w:r w:rsidRPr="009517EF">
        <w:rPr>
          <w:lang w:val="nl-NL"/>
        </w:rPr>
        <w:br/>
      </w:r>
      <w:r w:rsidRPr="009517EF">
        <w:rPr>
          <w:szCs w:val="22"/>
          <w:lang w:val="nl-NL"/>
        </w:rPr>
        <w:t>Er is 30,0 mL van 0,1 molair AgNO</w:t>
      </w:r>
      <w:r w:rsidRPr="009517EF">
        <w:rPr>
          <w:szCs w:val="22"/>
          <w:vertAlign w:val="subscript"/>
          <w:lang w:val="nl-NL"/>
        </w:rPr>
        <w:t>3</w:t>
      </w:r>
      <w:r w:rsidRPr="009517EF">
        <w:rPr>
          <w:szCs w:val="22"/>
          <w:lang w:val="nl-NL"/>
        </w:rPr>
        <w:t xml:space="preserve">-oplossing toegevoegd; dat betekent een totaal van 3,00 mmol </w:t>
      </w:r>
      <w:r w:rsidRPr="009517EF">
        <w:rPr>
          <w:lang w:val="nl-NL"/>
        </w:rPr>
        <w:t>Ag</w:t>
      </w:r>
      <w:r w:rsidRPr="009517EF">
        <w:rPr>
          <w:vertAlign w:val="superscript"/>
          <w:lang w:val="nl-NL"/>
        </w:rPr>
        <w:t>+</w:t>
      </w:r>
      <w:r w:rsidRPr="009517EF">
        <w:rPr>
          <w:lang w:val="nl-NL"/>
        </w:rPr>
        <w:t>-</w:t>
      </w:r>
      <w:r w:rsidRPr="009517EF">
        <w:rPr>
          <w:szCs w:val="22"/>
          <w:lang w:val="nl-NL"/>
        </w:rPr>
        <w:t xml:space="preserve">ionen (bij 25 mL). De </w:t>
      </w:r>
      <w:r w:rsidRPr="009517EF">
        <w:rPr>
          <w:i/>
          <w:iCs/>
          <w:szCs w:val="22"/>
          <w:lang w:val="nl-NL"/>
        </w:rPr>
        <w:t xml:space="preserve">overmaat </w:t>
      </w:r>
      <w:r w:rsidRPr="009517EF">
        <w:rPr>
          <w:lang w:val="nl-NL"/>
        </w:rPr>
        <w:t>Ag</w:t>
      </w:r>
      <w:r w:rsidRPr="009517EF">
        <w:rPr>
          <w:vertAlign w:val="superscript"/>
          <w:lang w:val="nl-NL"/>
        </w:rPr>
        <w:t>+</w:t>
      </w:r>
      <w:r w:rsidRPr="009517EF">
        <w:rPr>
          <w:lang w:val="nl-NL"/>
        </w:rPr>
        <w:t>-</w:t>
      </w:r>
      <w:r w:rsidRPr="009517EF">
        <w:rPr>
          <w:szCs w:val="22"/>
          <w:lang w:val="nl-NL"/>
        </w:rPr>
        <w:t>ionen is gelijk aan de hoeveelheid voor titratie gebruikte SCN</w:t>
      </w:r>
      <w:r w:rsidRPr="00222BA4">
        <w:rPr>
          <w:rFonts w:ascii="Symbol" w:hAnsi="Symbol"/>
          <w:szCs w:val="22"/>
          <w:vertAlign w:val="superscript"/>
        </w:rPr>
        <w:t></w:t>
      </w:r>
      <w:r w:rsidRPr="009517EF">
        <w:rPr>
          <w:szCs w:val="22"/>
          <w:lang w:val="nl-NL"/>
        </w:rPr>
        <w:t>-ionen, dus 16,30 mL × 0,0600 mmol/mL = 0,978 mmol.</w:t>
      </w:r>
      <w:r w:rsidRPr="009517EF">
        <w:rPr>
          <w:szCs w:val="22"/>
          <w:lang w:val="nl-NL"/>
        </w:rPr>
        <w:br/>
        <w:t xml:space="preserve">Het verschil tussen de </w:t>
      </w:r>
      <w:r w:rsidRPr="009517EF">
        <w:rPr>
          <w:i/>
          <w:iCs/>
          <w:szCs w:val="22"/>
          <w:lang w:val="nl-NL"/>
        </w:rPr>
        <w:t xml:space="preserve">totale </w:t>
      </w:r>
      <w:r w:rsidRPr="009517EF">
        <w:rPr>
          <w:szCs w:val="22"/>
          <w:lang w:val="nl-NL"/>
        </w:rPr>
        <w:t>hoeveelheid Ag</w:t>
      </w:r>
      <w:r w:rsidRPr="009517EF">
        <w:rPr>
          <w:szCs w:val="22"/>
          <w:vertAlign w:val="superscript"/>
          <w:lang w:val="nl-NL"/>
        </w:rPr>
        <w:t>+</w:t>
      </w:r>
      <w:r w:rsidRPr="009517EF">
        <w:rPr>
          <w:szCs w:val="22"/>
          <w:lang w:val="nl-NL"/>
        </w:rPr>
        <w:t xml:space="preserve"> en de </w:t>
      </w:r>
      <w:r w:rsidRPr="009517EF">
        <w:rPr>
          <w:i/>
          <w:iCs/>
          <w:szCs w:val="22"/>
          <w:lang w:val="nl-NL"/>
        </w:rPr>
        <w:t xml:space="preserve">overmaat </w:t>
      </w:r>
      <w:r w:rsidRPr="009517EF">
        <w:rPr>
          <w:szCs w:val="22"/>
          <w:lang w:val="nl-NL"/>
        </w:rPr>
        <w:t>Ag</w:t>
      </w:r>
      <w:r w:rsidRPr="009517EF">
        <w:rPr>
          <w:szCs w:val="22"/>
          <w:vertAlign w:val="superscript"/>
          <w:lang w:val="nl-NL"/>
        </w:rPr>
        <w:t>+</w:t>
      </w:r>
      <w:r w:rsidRPr="009517EF">
        <w:rPr>
          <w:szCs w:val="22"/>
          <w:lang w:val="nl-NL"/>
        </w:rPr>
        <w:t xml:space="preserve"> is neergeslagen met Cl</w:t>
      </w:r>
      <w:r w:rsidRPr="00222BA4">
        <w:rPr>
          <w:rFonts w:ascii="Symbol" w:hAnsi="Symbol"/>
          <w:szCs w:val="22"/>
          <w:vertAlign w:val="superscript"/>
        </w:rPr>
        <w:t></w:t>
      </w:r>
      <w:r w:rsidRPr="009517EF">
        <w:rPr>
          <w:szCs w:val="22"/>
          <w:lang w:val="nl-NL"/>
        </w:rPr>
        <w:t xml:space="preserve">-ionen. In 25 mL oplossing bevindt zich dus 3,00 mmol </w:t>
      </w:r>
      <w:r>
        <w:rPr>
          <w:szCs w:val="22"/>
        </w:rPr>
        <w:sym w:font="Symbol" w:char="F02D"/>
      </w:r>
      <w:r w:rsidRPr="009517EF">
        <w:rPr>
          <w:szCs w:val="22"/>
          <w:lang w:val="nl-NL"/>
        </w:rPr>
        <w:t xml:space="preserve"> 0,978 mmol = 2,02 mmol Cl</w:t>
      </w:r>
      <w:r>
        <w:rPr>
          <w:szCs w:val="22"/>
          <w:vertAlign w:val="superscript"/>
        </w:rPr>
        <w:sym w:font="Symbol" w:char="F02D"/>
      </w:r>
      <w:r w:rsidRPr="009517EF">
        <w:rPr>
          <w:szCs w:val="22"/>
          <w:lang w:val="nl-NL"/>
        </w:rPr>
        <w:t>-ionen, dus in de oorspronkelijke oplossing (100 mL) 8,08 mmol Cl</w:t>
      </w:r>
      <w:r>
        <w:rPr>
          <w:szCs w:val="22"/>
          <w:vertAlign w:val="superscript"/>
        </w:rPr>
        <w:sym w:font="Symbol" w:char="F02D"/>
      </w:r>
      <w:r w:rsidRPr="009517EF">
        <w:rPr>
          <w:szCs w:val="22"/>
          <w:lang w:val="nl-NL"/>
        </w:rPr>
        <w:t xml:space="preserve"> = 8,08.10</w:t>
      </w:r>
      <w:r w:rsidRPr="00222BA4">
        <w:rPr>
          <w:rFonts w:ascii="Symbol" w:hAnsi="Symbol"/>
          <w:szCs w:val="22"/>
          <w:vertAlign w:val="superscript"/>
        </w:rPr>
        <w:t></w:t>
      </w:r>
      <w:r w:rsidRPr="009517EF">
        <w:rPr>
          <w:szCs w:val="22"/>
          <w:vertAlign w:val="superscript"/>
          <w:lang w:val="nl-NL"/>
        </w:rPr>
        <w:t>3</w:t>
      </w:r>
      <w:r w:rsidRPr="009517EF">
        <w:rPr>
          <w:szCs w:val="22"/>
          <w:lang w:val="nl-NL"/>
        </w:rPr>
        <w:t xml:space="preserve"> × 35,5 g = 287 mg = 0,287 g Cl</w:t>
      </w:r>
      <w:r>
        <w:rPr>
          <w:szCs w:val="22"/>
          <w:vertAlign w:val="superscript"/>
        </w:rPr>
        <w:sym w:font="Symbol" w:char="F02D"/>
      </w:r>
      <w:r w:rsidRPr="009517EF">
        <w:rPr>
          <w:szCs w:val="22"/>
          <w:lang w:val="nl-NL"/>
        </w:rPr>
        <w:t>.</w:t>
      </w:r>
      <w:r w:rsidRPr="009517EF">
        <w:rPr>
          <w:szCs w:val="22"/>
          <w:lang w:val="nl-NL"/>
        </w:rPr>
        <w:br/>
      </w:r>
      <w:r w:rsidRPr="00222BA4">
        <w:rPr>
          <w:szCs w:val="22"/>
        </w:rPr>
        <w:t xml:space="preserve">Het chloridegehalte van het sodamonster (11,603 g) bedroeg dus </w:t>
      </w:r>
      <m:oMath>
        <m:f>
          <m:fPr>
            <m:ctrlPr>
              <w:rPr>
                <w:rFonts w:ascii="Cambria Math" w:hAnsi="Cambria Math"/>
                <w:i/>
                <w:szCs w:val="22"/>
              </w:rPr>
            </m:ctrlPr>
          </m:fPr>
          <m:num>
            <m:r>
              <w:rPr>
                <w:rFonts w:ascii="Cambria Math" w:hAnsi="Cambria Math"/>
                <w:szCs w:val="22"/>
              </w:rPr>
              <m:t>0,287</m:t>
            </m:r>
          </m:num>
          <m:den>
            <m:r>
              <w:rPr>
                <w:rFonts w:ascii="Cambria Math" w:hAnsi="Cambria Math"/>
                <w:szCs w:val="22"/>
              </w:rPr>
              <m:t>11,603</m:t>
            </m:r>
          </m:den>
        </m:f>
        <m:r>
          <w:rPr>
            <w:rFonts w:ascii="Cambria Math" w:hAnsi="Cambria Math"/>
            <w:szCs w:val="22"/>
          </w:rPr>
          <m:t>×</m:t>
        </m:r>
      </m:oMath>
      <w:r>
        <w:rPr>
          <w:szCs w:val="22"/>
        </w:rPr>
        <w:t xml:space="preserve"> </w:t>
      </w:r>
      <w:r w:rsidRPr="00222BA4">
        <w:rPr>
          <w:szCs w:val="22"/>
        </w:rPr>
        <w:t xml:space="preserve">100% = </w:t>
      </w:r>
      <w:r w:rsidRPr="00222BA4">
        <w:rPr>
          <w:szCs w:val="22"/>
          <w:u w:val="single"/>
        </w:rPr>
        <w:t>2,47%.</w:t>
      </w:r>
    </w:p>
    <w:p w:rsidR="009517EF" w:rsidRPr="007D12F1" w:rsidRDefault="009517EF" w:rsidP="009517EF">
      <w:pPr>
        <w:pStyle w:val="CSElijst"/>
        <w:numPr>
          <w:ilvl w:val="0"/>
          <w:numId w:val="7"/>
        </w:numPr>
        <w:ind w:left="0" w:hanging="567"/>
      </w:pPr>
      <w:r w:rsidRPr="009517EF">
        <w:rPr>
          <w:lang w:val="nl-NL"/>
        </w:rPr>
        <w:t>Indien geen HNO</w:t>
      </w:r>
      <w:r w:rsidRPr="009517EF">
        <w:rPr>
          <w:vertAlign w:val="subscript"/>
          <w:lang w:val="nl-NL"/>
        </w:rPr>
        <w:t>3</w:t>
      </w:r>
      <w:r w:rsidRPr="009517EF">
        <w:rPr>
          <w:lang w:val="nl-NL"/>
        </w:rPr>
        <w:t xml:space="preserve"> wordt toegevoegd, worden de carbonaationen niet verwijderd en zal Ag</w:t>
      </w:r>
      <w:r w:rsidRPr="009517EF">
        <w:rPr>
          <w:vertAlign w:val="superscript"/>
          <w:lang w:val="nl-NL"/>
        </w:rPr>
        <w:t>+</w:t>
      </w:r>
      <w:r w:rsidRPr="009517EF">
        <w:rPr>
          <w:lang w:val="nl-NL"/>
        </w:rPr>
        <w:t>(aq) met CO</w:t>
      </w:r>
      <w:r w:rsidRPr="009517EF">
        <w:rPr>
          <w:vertAlign w:val="subscript"/>
          <w:lang w:val="nl-NL"/>
        </w:rPr>
        <w:t>3</w:t>
      </w:r>
      <w:r w:rsidRPr="009517EF">
        <w:rPr>
          <w:vertAlign w:val="superscript"/>
          <w:lang w:val="nl-NL"/>
        </w:rPr>
        <w:t>2</w:t>
      </w:r>
      <w:r w:rsidRPr="008D320A">
        <w:rPr>
          <w:rFonts w:ascii="Symbol" w:hAnsi="Symbol"/>
          <w:vertAlign w:val="superscript"/>
        </w:rPr>
        <w:t></w:t>
      </w:r>
      <w:r w:rsidRPr="009517EF">
        <w:rPr>
          <w:lang w:val="nl-NL"/>
        </w:rPr>
        <w:t>(aq) neerslaan. Men vindt in het filtraat dan geen of weinig Ag</w:t>
      </w:r>
      <w:r w:rsidRPr="009517EF">
        <w:rPr>
          <w:vertAlign w:val="superscript"/>
          <w:lang w:val="nl-NL"/>
        </w:rPr>
        <w:t>+</w:t>
      </w:r>
      <w:r w:rsidRPr="009517EF">
        <w:rPr>
          <w:lang w:val="nl-NL"/>
        </w:rPr>
        <w:t>-ionen en zou dit kunnen toeschrijven aan een zeer grote [Cl</w:t>
      </w:r>
      <w:r>
        <w:rPr>
          <w:vertAlign w:val="superscript"/>
        </w:rPr>
        <w:sym w:font="Symbol" w:char="F02D"/>
      </w:r>
      <w:r w:rsidRPr="009517EF">
        <w:rPr>
          <w:lang w:val="nl-NL"/>
        </w:rPr>
        <w:t xml:space="preserve">] in het monster. </w:t>
      </w:r>
      <w:r w:rsidRPr="007D12F1">
        <w:t xml:space="preserve">Het gevonden chloridegehalte zal dus </w:t>
      </w:r>
      <w:r w:rsidRPr="007D12F1">
        <w:rPr>
          <w:i/>
          <w:iCs/>
        </w:rPr>
        <w:t xml:space="preserve">te hoog </w:t>
      </w:r>
      <w:r w:rsidRPr="007D12F1">
        <w:t>zijn.</w:t>
      </w:r>
    </w:p>
    <w:p w:rsidR="009517EF" w:rsidRPr="009517EF" w:rsidRDefault="009517EF" w:rsidP="009517EF">
      <w:pPr>
        <w:pStyle w:val="CSElijst"/>
        <w:numPr>
          <w:ilvl w:val="0"/>
          <w:numId w:val="7"/>
        </w:numPr>
        <w:ind w:left="0" w:hanging="567"/>
        <w:rPr>
          <w:szCs w:val="22"/>
          <w:lang w:val="nl-NL"/>
        </w:rPr>
      </w:pPr>
      <w:r w:rsidRPr="009517EF">
        <w:rPr>
          <w:lang w:val="nl-NL"/>
        </w:rPr>
        <w:t>De titratie met SCN</w:t>
      </w:r>
      <w:r w:rsidRPr="006A00C4">
        <w:rPr>
          <w:rFonts w:ascii="Symbol" w:hAnsi="Symbol"/>
          <w:vertAlign w:val="superscript"/>
        </w:rPr>
        <w:t></w:t>
      </w:r>
      <w:r w:rsidRPr="009517EF">
        <w:rPr>
          <w:lang w:val="nl-NL"/>
        </w:rPr>
        <w:t xml:space="preserve"> wordt slechts goed uitgevoerd als alleen de </w:t>
      </w:r>
      <w:r w:rsidRPr="009517EF">
        <w:rPr>
          <w:i/>
          <w:iCs/>
          <w:lang w:val="nl-NL"/>
        </w:rPr>
        <w:t xml:space="preserve">overmaat </w:t>
      </w:r>
      <w:r w:rsidRPr="009517EF">
        <w:rPr>
          <w:lang w:val="nl-NL"/>
        </w:rPr>
        <w:t>Ag</w:t>
      </w:r>
      <w:r w:rsidRPr="009517EF">
        <w:rPr>
          <w:vertAlign w:val="superscript"/>
          <w:lang w:val="nl-NL"/>
        </w:rPr>
        <w:t>+</w:t>
      </w:r>
      <w:r w:rsidRPr="009517EF">
        <w:rPr>
          <w:lang w:val="nl-NL"/>
        </w:rPr>
        <w:t xml:space="preserve">-ionen wordt bepaald. Indien dit theoretische equivalentiepunt is bereikt en er is nog AgCl(s) aanwezig, dan zorgt </w:t>
      </w:r>
      <w:r w:rsidRPr="009517EF">
        <w:rPr>
          <w:szCs w:val="22"/>
          <w:lang w:val="nl-NL"/>
        </w:rPr>
        <w:t xml:space="preserve">dit via het evenwicht AgCl(s) </w:t>
      </w:r>
      <w:r w:rsidRPr="009517EF">
        <w:rPr>
          <w:rFonts w:ascii="Cambria Math" w:hAnsi="Cambria Math"/>
          <w:szCs w:val="22"/>
          <w:lang w:val="nl-NL"/>
        </w:rPr>
        <w:t>⇌</w:t>
      </w:r>
      <w:r w:rsidRPr="009517EF">
        <w:rPr>
          <w:szCs w:val="22"/>
          <w:lang w:val="nl-NL"/>
        </w:rPr>
        <w:t xml:space="preserve"> Ag</w:t>
      </w:r>
      <w:r w:rsidRPr="009517EF">
        <w:rPr>
          <w:szCs w:val="22"/>
          <w:vertAlign w:val="superscript"/>
          <w:lang w:val="nl-NL"/>
        </w:rPr>
        <w:t>+</w:t>
      </w:r>
      <w:r w:rsidRPr="009517EF">
        <w:rPr>
          <w:szCs w:val="22"/>
          <w:lang w:val="nl-NL"/>
        </w:rPr>
        <w:t>(aq) + Cl</w:t>
      </w:r>
      <w:r>
        <w:rPr>
          <w:szCs w:val="22"/>
          <w:vertAlign w:val="superscript"/>
        </w:rPr>
        <w:sym w:font="Symbol" w:char="F02D"/>
      </w:r>
      <w:r w:rsidRPr="009517EF">
        <w:rPr>
          <w:szCs w:val="22"/>
          <w:lang w:val="nl-NL"/>
        </w:rPr>
        <w:t>(aq) voor een [Ag</w:t>
      </w:r>
      <w:r w:rsidRPr="009517EF">
        <w:rPr>
          <w:szCs w:val="22"/>
          <w:vertAlign w:val="superscript"/>
          <w:lang w:val="nl-NL"/>
        </w:rPr>
        <w:t>+</w:t>
      </w:r>
      <w:r w:rsidRPr="009517EF">
        <w:rPr>
          <w:szCs w:val="22"/>
          <w:lang w:val="nl-NL"/>
        </w:rPr>
        <w:t>] van ongeveer 10</w:t>
      </w:r>
      <w:r w:rsidRPr="006A00C4">
        <w:rPr>
          <w:rFonts w:ascii="Symbol" w:hAnsi="Symbol"/>
          <w:szCs w:val="22"/>
          <w:vertAlign w:val="superscript"/>
        </w:rPr>
        <w:t></w:t>
      </w:r>
      <w:r w:rsidRPr="009517EF">
        <w:rPr>
          <w:szCs w:val="22"/>
          <w:vertAlign w:val="superscript"/>
          <w:lang w:val="nl-NL"/>
        </w:rPr>
        <w:t>5</w:t>
      </w:r>
      <w:r w:rsidRPr="009517EF">
        <w:rPr>
          <w:szCs w:val="22"/>
          <w:lang w:val="nl-NL"/>
        </w:rPr>
        <w:t xml:space="preserve"> mol/L</w:t>
      </w:r>
      <w:r w:rsidRPr="009517EF">
        <w:rPr>
          <w:szCs w:val="22"/>
          <w:lang w:val="nl-NL"/>
        </w:rPr>
        <w:br/>
        <w:t xml:space="preserve">(want </w:t>
      </w:r>
      <w:r w:rsidRPr="009517EF">
        <w:rPr>
          <w:i/>
          <w:szCs w:val="22"/>
          <w:lang w:val="nl-NL"/>
        </w:rPr>
        <w:t>K</w:t>
      </w:r>
      <w:r w:rsidRPr="009517EF">
        <w:rPr>
          <w:szCs w:val="22"/>
          <w:vertAlign w:val="subscript"/>
          <w:lang w:val="nl-NL"/>
        </w:rPr>
        <w:t>s</w:t>
      </w:r>
      <w:r w:rsidRPr="009517EF">
        <w:rPr>
          <w:szCs w:val="22"/>
          <w:lang w:val="nl-NL"/>
        </w:rPr>
        <w:t>(AgCl) = 1,6</w:t>
      </w:r>
      <w:r>
        <w:rPr>
          <w:szCs w:val="22"/>
        </w:rPr>
        <w:sym w:font="Symbol" w:char="F0D7"/>
      </w:r>
      <w:r w:rsidRPr="009517EF">
        <w:rPr>
          <w:szCs w:val="22"/>
          <w:lang w:val="nl-NL"/>
        </w:rPr>
        <w:t>10</w:t>
      </w:r>
      <w:r w:rsidRPr="006A00C4">
        <w:rPr>
          <w:rFonts w:ascii="Symbol" w:hAnsi="Symbol"/>
          <w:szCs w:val="22"/>
          <w:vertAlign w:val="superscript"/>
        </w:rPr>
        <w:t></w:t>
      </w:r>
      <w:r w:rsidRPr="009517EF">
        <w:rPr>
          <w:szCs w:val="22"/>
          <w:vertAlign w:val="superscript"/>
          <w:lang w:val="nl-NL"/>
        </w:rPr>
        <w:t>10</w:t>
      </w:r>
      <w:r w:rsidRPr="009517EF">
        <w:rPr>
          <w:szCs w:val="22"/>
          <w:lang w:val="nl-NL"/>
        </w:rPr>
        <w:t>). Verdere toevoeging van SCN</w:t>
      </w:r>
      <w:r w:rsidRPr="006A00C4">
        <w:rPr>
          <w:rFonts w:ascii="Symbol" w:hAnsi="Symbol"/>
          <w:szCs w:val="22"/>
          <w:vertAlign w:val="superscript"/>
        </w:rPr>
        <w:t></w:t>
      </w:r>
      <w:r w:rsidRPr="009517EF">
        <w:rPr>
          <w:szCs w:val="22"/>
          <w:lang w:val="nl-NL"/>
        </w:rPr>
        <w:t>-ionen zal nu aanleiding geven tot een neerslag van AgSCN, omdat het oplosbaarheidsproduct hiervan duidelijk wordt overschreden (</w:t>
      </w:r>
      <w:r w:rsidRPr="009517EF">
        <w:rPr>
          <w:i/>
          <w:szCs w:val="22"/>
          <w:lang w:val="nl-NL"/>
        </w:rPr>
        <w:t>K</w:t>
      </w:r>
      <w:r w:rsidRPr="009517EF">
        <w:rPr>
          <w:szCs w:val="22"/>
          <w:vertAlign w:val="subscript"/>
          <w:lang w:val="nl-NL"/>
        </w:rPr>
        <w:t>s</w:t>
      </w:r>
      <w:r w:rsidRPr="009517EF">
        <w:rPr>
          <w:szCs w:val="22"/>
          <w:lang w:val="nl-NL"/>
        </w:rPr>
        <w:t>(AgSCN) = 7,0</w:t>
      </w:r>
      <w:r>
        <w:rPr>
          <w:szCs w:val="22"/>
        </w:rPr>
        <w:sym w:font="Symbol" w:char="F0D7"/>
      </w:r>
      <w:r w:rsidRPr="009517EF">
        <w:rPr>
          <w:szCs w:val="22"/>
          <w:lang w:val="nl-NL"/>
        </w:rPr>
        <w:t>10</w:t>
      </w:r>
      <w:r w:rsidRPr="006A00C4">
        <w:rPr>
          <w:rFonts w:ascii="Symbol" w:hAnsi="Symbol"/>
          <w:szCs w:val="22"/>
          <w:vertAlign w:val="superscript"/>
        </w:rPr>
        <w:t></w:t>
      </w:r>
      <w:r w:rsidRPr="006A00C4">
        <w:rPr>
          <w:rFonts w:ascii="Symbol" w:hAnsi="Symbol"/>
          <w:szCs w:val="22"/>
          <w:vertAlign w:val="superscript"/>
        </w:rPr>
        <w:t></w:t>
      </w:r>
      <w:r w:rsidRPr="006A00C4">
        <w:rPr>
          <w:rFonts w:ascii="Symbol" w:hAnsi="Symbol"/>
          <w:szCs w:val="22"/>
          <w:vertAlign w:val="superscript"/>
        </w:rPr>
        <w:t></w:t>
      </w:r>
      <w:r w:rsidRPr="009517EF">
        <w:rPr>
          <w:szCs w:val="22"/>
          <w:lang w:val="nl-NL"/>
        </w:rPr>
        <w:t xml:space="preserve">). Het AgCl-neerslag zendt nu opnieuw </w:t>
      </w:r>
      <w:r w:rsidRPr="009517EF">
        <w:rPr>
          <w:lang w:val="nl-NL"/>
        </w:rPr>
        <w:t>Ag</w:t>
      </w:r>
      <w:r w:rsidRPr="009517EF">
        <w:rPr>
          <w:vertAlign w:val="superscript"/>
          <w:lang w:val="nl-NL"/>
        </w:rPr>
        <w:t>+</w:t>
      </w:r>
      <w:r w:rsidRPr="009517EF">
        <w:rPr>
          <w:lang w:val="nl-NL"/>
        </w:rPr>
        <w:t>-</w:t>
      </w:r>
      <w:r w:rsidRPr="009517EF">
        <w:rPr>
          <w:szCs w:val="22"/>
          <w:lang w:val="nl-NL"/>
        </w:rPr>
        <w:t>ionen de oplossing in (want het evenwicht is verstoord), die opnieuw met toe te voegen SCN</w:t>
      </w:r>
      <w:r w:rsidRPr="006A00C4">
        <w:rPr>
          <w:rFonts w:ascii="Symbol" w:hAnsi="Symbol"/>
          <w:szCs w:val="22"/>
          <w:vertAlign w:val="superscript"/>
        </w:rPr>
        <w:t></w:t>
      </w:r>
      <w:r w:rsidRPr="009517EF">
        <w:rPr>
          <w:szCs w:val="22"/>
          <w:lang w:val="nl-NL"/>
        </w:rPr>
        <w:t>-ionen zullen neerslaan.</w:t>
      </w:r>
      <w:r w:rsidRPr="009517EF">
        <w:rPr>
          <w:szCs w:val="22"/>
          <w:lang w:val="nl-NL"/>
        </w:rPr>
        <w:br/>
        <w:t xml:space="preserve">Dit proces gaat door zolang er AgCl(s) is, zodat nu (foutief) het </w:t>
      </w:r>
      <w:r w:rsidRPr="009517EF">
        <w:rPr>
          <w:i/>
          <w:iCs/>
          <w:szCs w:val="22"/>
          <w:lang w:val="nl-NL"/>
        </w:rPr>
        <w:t xml:space="preserve">totaal </w:t>
      </w:r>
      <w:r w:rsidRPr="009517EF">
        <w:rPr>
          <w:szCs w:val="22"/>
          <w:lang w:val="nl-NL"/>
        </w:rPr>
        <w:t xml:space="preserve">der Ag </w:t>
      </w:r>
      <w:r w:rsidRPr="009517EF">
        <w:rPr>
          <w:szCs w:val="22"/>
          <w:vertAlign w:val="superscript"/>
          <w:lang w:val="nl-NL"/>
        </w:rPr>
        <w:t>+</w:t>
      </w:r>
      <w:r w:rsidRPr="009517EF">
        <w:rPr>
          <w:szCs w:val="22"/>
          <w:lang w:val="nl-NL"/>
        </w:rPr>
        <w:t>-ionen wordt bepaald.</w:t>
      </w:r>
    </w:p>
    <w:bookmarkStart w:id="2" w:name="_Toc490827182"/>
    <w:p w:rsidR="009517EF" w:rsidRPr="007D12F1" w:rsidRDefault="009517EF" w:rsidP="009517EF">
      <w:pPr>
        <w:pStyle w:val="Kop2"/>
      </w:pPr>
      <w:r w:rsidRPr="0018005E">
        <w:rPr>
          <w:noProof/>
        </w:rPr>
        <mc:AlternateContent>
          <mc:Choice Requires="wps">
            <w:drawing>
              <wp:anchor distT="0" distB="0" distL="0" distR="0" simplePos="0" relativeHeight="251667456" behindDoc="0" locked="0" layoutInCell="0" allowOverlap="1" wp14:anchorId="111059B2" wp14:editId="3B4DB105">
                <wp:simplePos x="0" y="0"/>
                <wp:positionH relativeFrom="margin">
                  <wp:align>center</wp:align>
                </wp:positionH>
                <wp:positionV relativeFrom="paragraph">
                  <wp:posOffset>326068</wp:posOffset>
                </wp:positionV>
                <wp:extent cx="6172835" cy="0"/>
                <wp:effectExtent l="0" t="19050" r="56515" b="38100"/>
                <wp:wrapSquare wrapText="bothSides"/>
                <wp:docPr id="3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F0990"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65pt" to="486.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be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" o:allowincell="f" strokecolor="silver" strokeweight="4.8pt">
                <w10:wrap type="square" anchorx="margin"/>
              </v:line>
            </w:pict>
          </mc:Fallback>
        </mc:AlternateContent>
      </w:r>
      <w:r>
        <w:t>Fasediagram</w:t>
      </w:r>
      <w:r>
        <w:tab/>
        <w:t>1975-II(II)</w:t>
      </w:r>
      <w:bookmarkEnd w:id="2"/>
    </w:p>
    <w:p w:rsidR="009517EF" w:rsidRPr="007D12F1" w:rsidRDefault="009517EF" w:rsidP="009517EF">
      <w:pPr>
        <w:pStyle w:val="CSElijst"/>
        <w:numPr>
          <w:ilvl w:val="0"/>
          <w:numId w:val="7"/>
        </w:numPr>
        <w:ind w:left="0" w:hanging="567"/>
      </w:pPr>
      <w:r w:rsidRPr="007D12F1">
        <w:t>50 massaprocenten aceton en 50 massaprocenten chloroform.</w:t>
      </w:r>
    </w:p>
    <w:p w:rsidR="009517EF" w:rsidRPr="007D12F1" w:rsidRDefault="009517EF" w:rsidP="009517EF">
      <w:pPr>
        <w:pStyle w:val="CSElijst"/>
        <w:numPr>
          <w:ilvl w:val="0"/>
          <w:numId w:val="7"/>
        </w:numPr>
        <w:ind w:left="0" w:hanging="567"/>
      </w:pPr>
      <w:r w:rsidRPr="007D12F1">
        <w:t>80 massaprocenten aceton en 20 massaprocenten chloroform.</w:t>
      </w:r>
    </w:p>
    <w:p w:rsidR="009517EF" w:rsidRPr="007D12F1" w:rsidRDefault="009517EF" w:rsidP="009517EF">
      <w:pPr>
        <w:pStyle w:val="CSElijst"/>
        <w:numPr>
          <w:ilvl w:val="0"/>
          <w:numId w:val="7"/>
        </w:numPr>
        <w:ind w:left="0" w:hanging="567"/>
      </w:pPr>
      <w:r w:rsidRPr="007D12F1">
        <w:t>86 massaprocenten aceton en 14 massaprocenten chloroform.</w:t>
      </w:r>
    </w:p>
    <w:p w:rsidR="009517EF" w:rsidRPr="006C54DB" w:rsidRDefault="009517EF" w:rsidP="009517EF">
      <w:pPr>
        <w:pStyle w:val="CSElijst"/>
        <w:numPr>
          <w:ilvl w:val="0"/>
          <w:numId w:val="7"/>
        </w:numPr>
        <w:ind w:left="0" w:hanging="567"/>
        <w:rPr>
          <w:lang w:val="nl-NL"/>
        </w:rPr>
      </w:pPr>
      <w:r w:rsidRPr="009517EF">
        <w:rPr>
          <w:lang w:val="nl-NL"/>
        </w:rPr>
        <w:t>De ontwijkende damp is voortdurend rijker aan aceton dan de vloeistof waaruit de damp ontstond, daardoor zal de achterblijvende vloeistof steeds rijker aan chloroform worden totdat de massaverhouding aceton-chloroform 20</w:t>
      </w:r>
      <w:r w:rsidR="006C54DB">
        <w:rPr>
          <w:lang w:val="nl-NL"/>
        </w:rPr>
        <w:t> </w:t>
      </w:r>
      <w:r w:rsidRPr="009517EF">
        <w:rPr>
          <w:lang w:val="nl-NL"/>
        </w:rPr>
        <w:t>:</w:t>
      </w:r>
      <w:r w:rsidR="006C54DB">
        <w:rPr>
          <w:lang w:val="nl-NL"/>
        </w:rPr>
        <w:t> </w:t>
      </w:r>
      <w:r w:rsidRPr="009517EF">
        <w:rPr>
          <w:lang w:val="nl-NL"/>
        </w:rPr>
        <w:t xml:space="preserve">80 geworden is, dan heeft de damp dezelfde samenstelling als de vloeistof waaruit hij kwam. </w:t>
      </w:r>
      <w:r w:rsidRPr="006C54DB">
        <w:rPr>
          <w:lang w:val="nl-NL"/>
        </w:rPr>
        <w:t>Het kookpunt zal daarbij stijgen van 59 °C tot 64,5 °C.</w:t>
      </w:r>
    </w:p>
    <w:p w:rsidR="009517EF" w:rsidRPr="007D12F1" w:rsidRDefault="009517EF" w:rsidP="009517EF">
      <w:pPr>
        <w:pStyle w:val="CSElijst"/>
        <w:numPr>
          <w:ilvl w:val="0"/>
          <w:numId w:val="7"/>
        </w:numPr>
        <w:ind w:left="0" w:hanging="567"/>
      </w:pPr>
      <w:r w:rsidRPr="009517EF">
        <w:rPr>
          <w:lang w:val="nl-NL"/>
        </w:rPr>
        <w:t>De massaverhouding bij het max. kookpunt bedraagt aceton : chloroform = 20 : 80 = 1 : 4.</w:t>
      </w:r>
      <w:r w:rsidRPr="009517EF">
        <w:rPr>
          <w:lang w:val="nl-NL"/>
        </w:rPr>
        <w:br/>
      </w:r>
      <w:r w:rsidRPr="007D12F1">
        <w:t xml:space="preserve">De molverhouding bedraagt dus </w:t>
      </w:r>
      <m:oMath>
        <m:f>
          <m:fPr>
            <m:ctrlPr>
              <w:rPr>
                <w:rFonts w:ascii="Cambria Math" w:hAnsi="Cambria Math"/>
                <w:i/>
              </w:rPr>
            </m:ctrlPr>
          </m:fPr>
          <m:num>
            <m:r>
              <w:rPr>
                <w:rFonts w:ascii="Cambria Math" w:hAnsi="Cambria Math"/>
              </w:rPr>
              <m:t>1</m:t>
            </m:r>
          </m:num>
          <m:den>
            <m:r>
              <w:rPr>
                <w:rFonts w:ascii="Cambria Math" w:hAnsi="Cambria Math"/>
              </w:rPr>
              <m:t>58</m:t>
            </m:r>
          </m:den>
        </m:f>
        <m:r>
          <w:rPr>
            <w:rFonts w:ascii="Cambria Math" w:hAnsi="Cambria Math"/>
          </w:rPr>
          <m:t xml:space="preserve"> : </m:t>
        </m:r>
        <m:f>
          <m:fPr>
            <m:ctrlPr>
              <w:rPr>
                <w:rFonts w:ascii="Cambria Math" w:hAnsi="Cambria Math"/>
                <w:i/>
              </w:rPr>
            </m:ctrlPr>
          </m:fPr>
          <m:num>
            <m:r>
              <w:rPr>
                <w:rFonts w:ascii="Cambria Math" w:hAnsi="Cambria Math"/>
              </w:rPr>
              <m:t>4</m:t>
            </m:r>
          </m:num>
          <m:den>
            <m:r>
              <w:rPr>
                <w:rFonts w:ascii="Cambria Math" w:hAnsi="Cambria Math"/>
              </w:rPr>
              <m:t>119,5</m:t>
            </m:r>
          </m:den>
        </m:f>
      </m:oMath>
      <w:r>
        <w:t xml:space="preserve">  = </w:t>
      </w:r>
      <w:r w:rsidRPr="007D12F1">
        <w:t>1</w:t>
      </w:r>
      <w:r>
        <w:t> </w:t>
      </w:r>
      <w:r w:rsidRPr="007D12F1">
        <w:t>:</w:t>
      </w:r>
      <w:r>
        <w:t> </w:t>
      </w:r>
      <w:r w:rsidRPr="007D12F1">
        <w:t>1,</w:t>
      </w:r>
      <w:r>
        <w:t>9</w:t>
      </w:r>
      <w:r w:rsidRPr="007D12F1">
        <w:t>.</w:t>
      </w:r>
    </w:p>
    <w:p w:rsidR="009517EF" w:rsidRPr="009517EF" w:rsidRDefault="009517EF" w:rsidP="009517EF">
      <w:pPr>
        <w:pStyle w:val="CSElijst"/>
        <w:numPr>
          <w:ilvl w:val="0"/>
          <w:numId w:val="7"/>
        </w:numPr>
        <w:ind w:left="0" w:hanging="567"/>
        <w:rPr>
          <w:lang w:val="nl-NL"/>
        </w:rPr>
      </w:pPr>
      <w:r>
        <w:rPr>
          <w:noProof/>
        </w:rPr>
        <w:drawing>
          <wp:anchor distT="0" distB="0" distL="114300" distR="114300" simplePos="0" relativeHeight="251660288" behindDoc="0" locked="0" layoutInCell="1" allowOverlap="1" wp14:anchorId="2E8CDEDD" wp14:editId="6D4E9A27">
            <wp:simplePos x="0" y="0"/>
            <wp:positionH relativeFrom="column">
              <wp:posOffset>4057015</wp:posOffset>
            </wp:positionH>
            <wp:positionV relativeFrom="paragraph">
              <wp:posOffset>338455</wp:posOffset>
            </wp:positionV>
            <wp:extent cx="1617345" cy="1082040"/>
            <wp:effectExtent l="0" t="0" r="1905" b="3810"/>
            <wp:wrapSquare wrapText="bothSides"/>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17345" cy="1082040"/>
                    </a:xfrm>
                    <a:prstGeom prst="rect">
                      <a:avLst/>
                    </a:prstGeom>
                  </pic:spPr>
                </pic:pic>
              </a:graphicData>
            </a:graphic>
            <wp14:sizeRelH relativeFrom="margin">
              <wp14:pctWidth>0</wp14:pctWidth>
            </wp14:sizeRelH>
            <wp14:sizeRelV relativeFrom="margin">
              <wp14:pctHeight>0</wp14:pctHeight>
            </wp14:sizeRelV>
          </wp:anchor>
        </w:drawing>
      </w:r>
      <w:r w:rsidRPr="009517EF">
        <w:rPr>
          <w:lang w:val="nl-NL"/>
        </w:rPr>
        <w:t>De gevonden verhouding ligt dicht bij 1</w:t>
      </w:r>
      <w:r w:rsidR="006C54DB">
        <w:rPr>
          <w:lang w:val="nl-NL"/>
        </w:rPr>
        <w:t> </w:t>
      </w:r>
      <w:r w:rsidRPr="009517EF">
        <w:rPr>
          <w:lang w:val="nl-NL"/>
        </w:rPr>
        <w:t>:</w:t>
      </w:r>
      <w:r w:rsidR="006C54DB">
        <w:rPr>
          <w:lang w:val="nl-NL"/>
        </w:rPr>
        <w:t> </w:t>
      </w:r>
      <w:r w:rsidRPr="009517EF">
        <w:rPr>
          <w:lang w:val="nl-NL"/>
        </w:rPr>
        <w:t xml:space="preserve">2. In deze molverhouding zijn de krachten tussen de vloeistofmoleculen blijkbaar maximaal (hoogste kookpunt). Dit is te verklaren met de vorming van </w:t>
      </w:r>
      <w:r w:rsidRPr="009517EF">
        <w:rPr>
          <w:i/>
          <w:iCs/>
          <w:lang w:val="nl-NL"/>
        </w:rPr>
        <w:t>waterstofbruggen.</w:t>
      </w:r>
      <w:r w:rsidRPr="009517EF">
        <w:rPr>
          <w:i/>
          <w:iCs/>
          <w:lang w:val="nl-NL"/>
        </w:rPr>
        <w:br/>
      </w:r>
      <w:r w:rsidRPr="009517EF">
        <w:rPr>
          <w:lang w:val="nl-NL"/>
        </w:rPr>
        <w:t>Zowel aceton als chloroform bestaat uit dipoolmoleculen (zie elektronenformules).</w:t>
      </w:r>
      <w:r w:rsidRPr="009517EF">
        <w:rPr>
          <w:lang w:val="nl-NL"/>
        </w:rPr>
        <w:br/>
        <w:t>Door de grote elektronegativiteit van de Cl-atomen zal het H-atoom in chloroform enigszins positief worden (</w:t>
      </w:r>
      <w:r w:rsidRPr="00D50974">
        <w:rPr>
          <w:rFonts w:ascii="Symbol" w:hAnsi="Symbol"/>
        </w:rPr>
        <w:t></w:t>
      </w:r>
      <w:r w:rsidRPr="009517EF">
        <w:rPr>
          <w:lang w:val="nl-NL"/>
        </w:rPr>
        <w:t>+) en een H-brug geven met een vrij elektronenpaar van een zuurstofatoom in aceton. Het maximale aantal H-bruggen treedt op als er 2 moleculen chloroform op elk molecuul aceton voorkomen.</w:t>
      </w:r>
    </w:p>
    <w:p w:rsidR="009517EF" w:rsidRPr="009517EF" w:rsidRDefault="009517EF" w:rsidP="009517EF">
      <w:pPr>
        <w:pStyle w:val="CSElijst"/>
        <w:numPr>
          <w:ilvl w:val="0"/>
          <w:numId w:val="7"/>
        </w:numPr>
        <w:ind w:left="0" w:hanging="567"/>
        <w:rPr>
          <w:lang w:val="nl-NL"/>
        </w:rPr>
      </w:pPr>
      <w:r w:rsidRPr="009517EF">
        <w:rPr>
          <w:lang w:val="nl-NL"/>
        </w:rPr>
        <w:t>Nee, want bij het destilleren van een 10%-90% mengsel is de damp rijker aan chloroform dan de vloeistof waaruit de damp ontstond. De vloeistof zelf (het residu) kan dus wel rijker worden aan aceton, maar nooit rijker dan de samenstelling behorend bij het maximale kookpunt, want daar hebben damp en vloeistof dezelfde samenstelling (20% aceton).</w:t>
      </w:r>
    </w:p>
    <w:bookmarkStart w:id="3" w:name="_Toc490827183"/>
    <w:p w:rsidR="009517EF" w:rsidRDefault="009517EF" w:rsidP="009517EF">
      <w:pPr>
        <w:pStyle w:val="Kop2"/>
      </w:pPr>
      <w:r w:rsidRPr="0018005E">
        <w:rPr>
          <w:noProof/>
        </w:rPr>
        <mc:AlternateContent>
          <mc:Choice Requires="wps">
            <w:drawing>
              <wp:anchor distT="0" distB="0" distL="0" distR="0" simplePos="0" relativeHeight="251668480" behindDoc="0" locked="0" layoutInCell="0" allowOverlap="1" wp14:anchorId="7B7CAA26" wp14:editId="789867DE">
                <wp:simplePos x="0" y="0"/>
                <wp:positionH relativeFrom="margin">
                  <wp:align>center</wp:align>
                </wp:positionH>
                <wp:positionV relativeFrom="paragraph">
                  <wp:posOffset>325755</wp:posOffset>
                </wp:positionV>
                <wp:extent cx="6172835" cy="0"/>
                <wp:effectExtent l="0" t="19050" r="56515" b="38100"/>
                <wp:wrapSquare wrapText="bothSides"/>
                <wp:docPr id="3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081E"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65pt" to="486.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sY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" o:allowincell="f" strokecolor="silver" strokeweight="4.8pt">
                <w10:wrap type="square" anchorx="margin"/>
              </v:line>
            </w:pict>
          </mc:Fallback>
        </mc:AlternateContent>
      </w:r>
      <w:r>
        <w:t>Cyclopentadieen</w:t>
      </w:r>
      <w:r>
        <w:tab/>
        <w:t>1975-II(III)</w:t>
      </w:r>
      <w:bookmarkEnd w:id="3"/>
    </w:p>
    <w:p w:rsidR="009517EF" w:rsidRPr="009517EF" w:rsidRDefault="009517EF" w:rsidP="009517EF">
      <w:pPr>
        <w:pStyle w:val="CSElijst"/>
        <w:numPr>
          <w:ilvl w:val="0"/>
          <w:numId w:val="7"/>
        </w:numPr>
        <w:ind w:left="0" w:hanging="567"/>
        <w:rPr>
          <w:lang w:val="nl-NL"/>
        </w:rPr>
      </w:pPr>
      <w:r w:rsidRPr="009517EF">
        <w:rPr>
          <w:lang w:val="nl-NL"/>
        </w:rPr>
        <w:t>2 C</w:t>
      </w:r>
      <w:r w:rsidRPr="009517EF">
        <w:rPr>
          <w:vertAlign w:val="subscript"/>
          <w:lang w:val="nl-NL"/>
        </w:rPr>
        <w:t>5</w:t>
      </w:r>
      <w:r w:rsidRPr="009517EF">
        <w:rPr>
          <w:lang w:val="nl-NL"/>
        </w:rPr>
        <w:t>H</w:t>
      </w:r>
      <w:r w:rsidRPr="009517EF">
        <w:rPr>
          <w:vertAlign w:val="subscript"/>
          <w:lang w:val="nl-NL"/>
        </w:rPr>
        <w:t>6</w:t>
      </w:r>
      <w:r w:rsidRPr="009517EF">
        <w:rPr>
          <w:lang w:val="nl-NL"/>
        </w:rPr>
        <w:t xml:space="preserve">(l) + 2 Na(s) </w:t>
      </w:r>
      <w:r>
        <w:sym w:font="Symbol" w:char="F0AE"/>
      </w:r>
      <w:r w:rsidRPr="009517EF">
        <w:rPr>
          <w:lang w:val="nl-NL"/>
        </w:rPr>
        <w:t xml:space="preserve"> 2 Na</w:t>
      </w:r>
      <w:r w:rsidRPr="009517EF">
        <w:rPr>
          <w:vertAlign w:val="superscript"/>
          <w:lang w:val="nl-NL"/>
        </w:rPr>
        <w:t>+</w:t>
      </w:r>
      <w:r w:rsidRPr="009517EF">
        <w:rPr>
          <w:lang w:val="nl-NL"/>
        </w:rPr>
        <w:t>C</w:t>
      </w:r>
      <w:r w:rsidRPr="009517EF">
        <w:rPr>
          <w:vertAlign w:val="subscript"/>
          <w:lang w:val="nl-NL"/>
        </w:rPr>
        <w:t>5</w:t>
      </w:r>
      <w:r w:rsidRPr="009517EF">
        <w:rPr>
          <w:lang w:val="nl-NL"/>
        </w:rPr>
        <w:t>H</w:t>
      </w:r>
      <w:r w:rsidRPr="009517EF">
        <w:rPr>
          <w:vertAlign w:val="subscript"/>
          <w:lang w:val="nl-NL"/>
        </w:rPr>
        <w:t>5</w:t>
      </w:r>
      <w:r w:rsidRPr="00D50974">
        <w:rPr>
          <w:rFonts w:ascii="Symbol" w:hAnsi="Symbol"/>
          <w:vertAlign w:val="superscript"/>
        </w:rPr>
        <w:t></w:t>
      </w:r>
      <w:r w:rsidRPr="009517EF">
        <w:rPr>
          <w:lang w:val="nl-NL"/>
        </w:rPr>
        <w:t>(solv) + H</w:t>
      </w:r>
      <w:r w:rsidRPr="009517EF">
        <w:rPr>
          <w:vertAlign w:val="subscript"/>
          <w:lang w:val="nl-NL"/>
        </w:rPr>
        <w:t>2</w:t>
      </w:r>
      <w:r w:rsidRPr="009517EF">
        <w:rPr>
          <w:lang w:val="nl-NL"/>
        </w:rPr>
        <w:t>(g)</w:t>
      </w:r>
      <w:r w:rsidRPr="009517EF">
        <w:rPr>
          <w:lang w:val="nl-NL"/>
        </w:rPr>
        <w:br/>
        <w:t>Na</w:t>
      </w:r>
      <w:r w:rsidRPr="009517EF">
        <w:rPr>
          <w:vertAlign w:val="superscript"/>
          <w:lang w:val="nl-NL"/>
        </w:rPr>
        <w:t>+</w:t>
      </w:r>
      <w:r w:rsidRPr="009517EF">
        <w:rPr>
          <w:lang w:val="nl-NL"/>
        </w:rPr>
        <w:t>C</w:t>
      </w:r>
      <w:r w:rsidRPr="009517EF">
        <w:rPr>
          <w:vertAlign w:val="subscript"/>
          <w:lang w:val="nl-NL"/>
        </w:rPr>
        <w:t>5</w:t>
      </w:r>
      <w:r w:rsidRPr="009517EF">
        <w:rPr>
          <w:lang w:val="nl-NL"/>
        </w:rPr>
        <w:t>H</w:t>
      </w:r>
      <w:r w:rsidRPr="009517EF">
        <w:rPr>
          <w:vertAlign w:val="subscript"/>
          <w:lang w:val="nl-NL"/>
        </w:rPr>
        <w:t>5</w:t>
      </w:r>
      <w:r w:rsidRPr="00D50974">
        <w:rPr>
          <w:rFonts w:ascii="Symbol" w:hAnsi="Symbol"/>
          <w:vertAlign w:val="superscript"/>
        </w:rPr>
        <w:t></w:t>
      </w:r>
      <w:r w:rsidRPr="009517EF">
        <w:rPr>
          <w:lang w:val="nl-NL"/>
        </w:rPr>
        <w:t>(s) + H</w:t>
      </w:r>
      <w:r w:rsidRPr="009517EF">
        <w:rPr>
          <w:vertAlign w:val="subscript"/>
          <w:lang w:val="nl-NL"/>
        </w:rPr>
        <w:t>2</w:t>
      </w:r>
      <w:r w:rsidRPr="009517EF">
        <w:rPr>
          <w:lang w:val="nl-NL"/>
        </w:rPr>
        <w:t xml:space="preserve">O(l) </w:t>
      </w:r>
      <w:r>
        <w:sym w:font="Symbol" w:char="F0AE"/>
      </w:r>
      <w:r w:rsidRPr="009517EF">
        <w:rPr>
          <w:lang w:val="nl-NL"/>
        </w:rPr>
        <w:t xml:space="preserve"> C</w:t>
      </w:r>
      <w:r w:rsidRPr="009517EF">
        <w:rPr>
          <w:vertAlign w:val="subscript"/>
          <w:lang w:val="nl-NL"/>
        </w:rPr>
        <w:t>5</w:t>
      </w:r>
      <w:r w:rsidRPr="009517EF">
        <w:rPr>
          <w:lang w:val="nl-NL"/>
        </w:rPr>
        <w:t>H</w:t>
      </w:r>
      <w:r w:rsidRPr="009517EF">
        <w:rPr>
          <w:vertAlign w:val="subscript"/>
          <w:lang w:val="nl-NL"/>
        </w:rPr>
        <w:t>6</w:t>
      </w:r>
      <w:r w:rsidRPr="009517EF">
        <w:rPr>
          <w:lang w:val="nl-NL"/>
        </w:rPr>
        <w:t>(l) + Na</w:t>
      </w:r>
      <w:r w:rsidRPr="009517EF">
        <w:rPr>
          <w:vertAlign w:val="superscript"/>
          <w:lang w:val="nl-NL"/>
        </w:rPr>
        <w:t>+</w:t>
      </w:r>
      <w:r w:rsidRPr="009517EF">
        <w:rPr>
          <w:lang w:val="nl-NL"/>
        </w:rPr>
        <w:t>(aq) + OH</w:t>
      </w:r>
      <w:r w:rsidRPr="00D50974">
        <w:rPr>
          <w:rFonts w:ascii="Symbol" w:hAnsi="Symbol"/>
          <w:vertAlign w:val="superscript"/>
        </w:rPr>
        <w:t></w:t>
      </w:r>
      <w:r w:rsidRPr="009517EF">
        <w:rPr>
          <w:lang w:val="nl-NL"/>
        </w:rPr>
        <w:t>(aq)</w:t>
      </w:r>
    </w:p>
    <w:p w:rsidR="009517EF" w:rsidRPr="007D12F1" w:rsidRDefault="009517EF" w:rsidP="009517EF">
      <w:pPr>
        <w:pStyle w:val="OpmCurs"/>
        <w:rPr>
          <w:szCs w:val="22"/>
        </w:rPr>
      </w:pPr>
      <w:r w:rsidRPr="007D12F1">
        <w:t>Opmerking: (solv) betekent in een oplosmiddel (Engels: solvent) anders dan water, dat me</w:t>
      </w:r>
      <w:r>
        <w:t>t</w:t>
      </w:r>
      <w:r w:rsidRPr="007D12F1">
        <w:t xml:space="preserve"> (aq)</w:t>
      </w:r>
      <w:r>
        <w:t xml:space="preserve"> </w:t>
      </w:r>
      <w:r w:rsidRPr="007D12F1">
        <w:rPr>
          <w:szCs w:val="22"/>
        </w:rPr>
        <w:t>wordt aangegeven.</w:t>
      </w:r>
    </w:p>
    <w:p w:rsidR="009517EF" w:rsidRPr="009517EF" w:rsidRDefault="009517EF" w:rsidP="009517EF">
      <w:pPr>
        <w:pStyle w:val="CSElijst"/>
        <w:numPr>
          <w:ilvl w:val="0"/>
          <w:numId w:val="7"/>
        </w:numPr>
        <w:ind w:left="0" w:hanging="567"/>
        <w:rPr>
          <w:szCs w:val="22"/>
          <w:lang w:val="nl-NL"/>
        </w:rPr>
      </w:pPr>
      <w:bookmarkStart w:id="4" w:name="_Ref488235061"/>
      <w:r>
        <w:rPr>
          <w:noProof/>
        </w:rPr>
        <w:drawing>
          <wp:anchor distT="0" distB="0" distL="114300" distR="114300" simplePos="0" relativeHeight="251661312" behindDoc="0" locked="0" layoutInCell="1" allowOverlap="1" wp14:anchorId="09D5976E" wp14:editId="621EFA1A">
            <wp:simplePos x="0" y="0"/>
            <wp:positionH relativeFrom="column">
              <wp:posOffset>3902710</wp:posOffset>
            </wp:positionH>
            <wp:positionV relativeFrom="paragraph">
              <wp:posOffset>81280</wp:posOffset>
            </wp:positionV>
            <wp:extent cx="1850390" cy="843915"/>
            <wp:effectExtent l="0" t="0" r="0" b="0"/>
            <wp:wrapSquare wrapText="bothSides"/>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50390" cy="843915"/>
                    </a:xfrm>
                    <a:prstGeom prst="rect">
                      <a:avLst/>
                    </a:prstGeom>
                  </pic:spPr>
                </pic:pic>
              </a:graphicData>
            </a:graphic>
            <wp14:sizeRelH relativeFrom="margin">
              <wp14:pctWidth>0</wp14:pctWidth>
            </wp14:sizeRelH>
            <wp14:sizeRelV relativeFrom="margin">
              <wp14:pctHeight>0</wp14:pctHeight>
            </wp14:sizeRelV>
          </wp:anchor>
        </w:drawing>
      </w:r>
      <w:r w:rsidRPr="009517EF">
        <w:rPr>
          <w:lang w:val="nl-NL"/>
        </w:rPr>
        <w:t>De CH</w:t>
      </w:r>
      <w:r w:rsidRPr="009517EF">
        <w:rPr>
          <w:vertAlign w:val="subscript"/>
          <w:lang w:val="nl-NL"/>
        </w:rPr>
        <w:t>3</w:t>
      </w:r>
      <w:r w:rsidRPr="009517EF">
        <w:rPr>
          <w:lang w:val="nl-NL"/>
        </w:rPr>
        <w:t>-groep aan C(2) ligt in hetzelfde vlak als de vijfring. De CH</w:t>
      </w:r>
      <w:r w:rsidRPr="009517EF">
        <w:rPr>
          <w:vertAlign w:val="subscript"/>
          <w:lang w:val="nl-NL"/>
        </w:rPr>
        <w:t>3</w:t>
      </w:r>
      <w:r w:rsidRPr="009517EF">
        <w:rPr>
          <w:lang w:val="nl-NL"/>
        </w:rPr>
        <w:t>-groep van C(1) kan echter zowel boven als onder dit vlak liggen. Dit levert 2 moleculen op, die elkaars spiegelbeeld vormen (zie figuur hiernaast).</w:t>
      </w:r>
      <w:r w:rsidRPr="009517EF">
        <w:rPr>
          <w:lang w:val="nl-NL"/>
        </w:rPr>
        <w:br/>
      </w:r>
      <w:r w:rsidRPr="009517EF">
        <w:rPr>
          <w:szCs w:val="22"/>
          <w:lang w:val="nl-NL"/>
        </w:rPr>
        <w:t>Als het rechtse molecuul zodanig omgeklapt wordt dat de CH</w:t>
      </w:r>
      <w:r w:rsidRPr="009517EF">
        <w:rPr>
          <w:szCs w:val="22"/>
          <w:vertAlign w:val="subscript"/>
          <w:lang w:val="nl-NL"/>
        </w:rPr>
        <w:t>3</w:t>
      </w:r>
      <w:r w:rsidRPr="009517EF">
        <w:rPr>
          <w:szCs w:val="22"/>
          <w:lang w:val="nl-NL"/>
        </w:rPr>
        <w:t>-groepen aan C(2) op elkaar vallen, zitten de CH</w:t>
      </w:r>
      <w:r w:rsidRPr="009517EF">
        <w:rPr>
          <w:szCs w:val="22"/>
          <w:vertAlign w:val="subscript"/>
          <w:lang w:val="nl-NL"/>
        </w:rPr>
        <w:t>3</w:t>
      </w:r>
      <w:r w:rsidRPr="009517EF">
        <w:rPr>
          <w:szCs w:val="22"/>
          <w:lang w:val="nl-NL"/>
        </w:rPr>
        <w:t>-groepen aan C(1) aan verschillende zijden van het vlak der vijfring.</w:t>
      </w:r>
      <w:bookmarkEnd w:id="4"/>
    </w:p>
    <w:p w:rsidR="009517EF" w:rsidRPr="007D12F1" w:rsidRDefault="009517EF" w:rsidP="009517EF">
      <w:pPr>
        <w:pStyle w:val="CSElijst"/>
        <w:numPr>
          <w:ilvl w:val="0"/>
          <w:numId w:val="7"/>
        </w:numPr>
        <w:ind w:left="0" w:hanging="567"/>
        <w:rPr>
          <w:szCs w:val="22"/>
        </w:rPr>
      </w:pPr>
      <w:r>
        <w:t xml:space="preserve">Zie </w:t>
      </w:r>
      <w:r w:rsidRPr="00815904">
        <w:t>pijlen</w:t>
      </w:r>
      <w:r>
        <w:t xml:space="preserve"> in onderdeel </w:t>
      </w:r>
      <w:r>
        <w:rPr>
          <w:i/>
        </w:rPr>
        <w:fldChar w:fldCharType="begin"/>
      </w:r>
      <w:r>
        <w:instrText xml:space="preserve"> REF _Ref488235061 \r \h </w:instrText>
      </w:r>
      <w:r>
        <w:rPr>
          <w:i/>
        </w:rPr>
      </w:r>
      <w:r>
        <w:rPr>
          <w:i/>
        </w:rPr>
        <w:fldChar w:fldCharType="separate"/>
      </w:r>
      <w:r>
        <w:t xml:space="preserve">16 </w:t>
      </w:r>
      <w:r>
        <w:t></w:t>
      </w:r>
      <w:r>
        <w:rPr>
          <w:i/>
        </w:rPr>
        <w:fldChar w:fldCharType="end"/>
      </w:r>
      <w:r>
        <w:t>.</w:t>
      </w:r>
    </w:p>
    <w:p w:rsidR="009517EF" w:rsidRPr="009517EF" w:rsidRDefault="009517EF" w:rsidP="009517EF">
      <w:pPr>
        <w:pStyle w:val="CSElijst"/>
        <w:numPr>
          <w:ilvl w:val="0"/>
          <w:numId w:val="7"/>
        </w:numPr>
        <w:ind w:left="0" w:hanging="567"/>
        <w:rPr>
          <w:lang w:val="nl-NL"/>
        </w:rPr>
      </w:pPr>
      <w:r w:rsidRPr="00115851">
        <w:rPr>
          <w:noProof/>
          <w:position w:val="-160"/>
        </w:rPr>
        <w:drawing>
          <wp:inline distT="0" distB="0" distL="0" distR="0" wp14:anchorId="596D988D" wp14:editId="5C8242A5">
            <wp:extent cx="5579588" cy="1185785"/>
            <wp:effectExtent l="0" t="0" r="254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94841" cy="1189027"/>
                    </a:xfrm>
                    <a:prstGeom prst="rect">
                      <a:avLst/>
                    </a:prstGeom>
                  </pic:spPr>
                </pic:pic>
              </a:graphicData>
            </a:graphic>
          </wp:inline>
        </w:drawing>
      </w:r>
      <w:r w:rsidRPr="007D12F1">
        <w:rPr>
          <w:noProof/>
        </w:rPr>
        <mc:AlternateContent>
          <mc:Choice Requires="wps">
            <w:drawing>
              <wp:anchor distT="0" distB="0" distL="0" distR="0" simplePos="0" relativeHeight="251659264" behindDoc="0" locked="0" layoutInCell="0" allowOverlap="1" wp14:anchorId="0C43A397" wp14:editId="19E77DB2">
                <wp:simplePos x="0" y="0"/>
                <wp:positionH relativeFrom="page">
                  <wp:posOffset>814070</wp:posOffset>
                </wp:positionH>
                <wp:positionV relativeFrom="page">
                  <wp:posOffset>6650990</wp:posOffset>
                </wp:positionV>
                <wp:extent cx="17780" cy="88265"/>
                <wp:effectExtent l="0" t="0" r="0" b="0"/>
                <wp:wrapSquare wrapText="bothSides"/>
                <wp:docPr id="3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7EF" w:rsidRDefault="009517EF" w:rsidP="009517EF">
                            <w:pPr>
                              <w:kinsoku w:val="0"/>
                              <w:overflowPunct w:val="0"/>
                              <w:spacing w:line="138" w:lineRule="exact"/>
                              <w:textAlignment w:val="baseline"/>
                              <w:rPr>
                                <w:rFonts w:ascii="Verdana" w:hAnsi="Verdana" w:cs="Verdana"/>
                                <w:sz w:val="17"/>
                                <w:szCs w:val="17"/>
                              </w:rPr>
                            </w:pPr>
                            <w:r>
                              <w:rPr>
                                <w:rFonts w:ascii="Verdana" w:hAnsi="Verdana" w:cs="Verdana"/>
                                <w:sz w:val="17"/>
                                <w:szCs w:val="1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3A397" id="_x0000_t202" coordsize="21600,21600" o:spt="202" path="m,l,21600r21600,l21600,xe">
                <v:stroke joinstyle="miter"/>
                <v:path gradientshapeok="t" o:connecttype="rect"/>
              </v:shapetype>
              <v:shape id="Text Box 32" o:spid="_x0000_s1026" type="#_x0000_t202" style="position:absolute;left:0;text-align:left;margin-left:64.1pt;margin-top:523.7pt;width:1.4pt;height:6.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" o:allowincell="f" stroked="f">
                <v:textbox inset="0,0,0,0">
                  <w:txbxContent>
                    <w:p w:rsidR="009517EF" w:rsidRDefault="009517EF" w:rsidP="009517EF">
                      <w:pPr>
                        <w:kinsoku w:val="0"/>
                        <w:overflowPunct w:val="0"/>
                        <w:spacing w:line="138" w:lineRule="exact"/>
                        <w:textAlignment w:val="baseline"/>
                        <w:rPr>
                          <w:rFonts w:ascii="Verdana" w:hAnsi="Verdana" w:cs="Verdana"/>
                          <w:sz w:val="17"/>
                          <w:szCs w:val="17"/>
                        </w:rPr>
                      </w:pPr>
                      <w:r>
                        <w:rPr>
                          <w:rFonts w:ascii="Verdana" w:hAnsi="Verdana" w:cs="Verdana"/>
                          <w:sz w:val="17"/>
                          <w:szCs w:val="17"/>
                        </w:rPr>
                        <w:t>1</w:t>
                      </w:r>
                    </w:p>
                  </w:txbxContent>
                </v:textbox>
                <w10:wrap type="square" anchorx="page" anchory="page"/>
              </v:shape>
            </w:pict>
          </mc:Fallback>
        </mc:AlternateContent>
      </w:r>
      <w:r w:rsidRPr="009517EF">
        <w:rPr>
          <w:lang w:val="nl-NL"/>
        </w:rPr>
        <w:t xml:space="preserve">Het vrije elektronenpaar (na ionisatie ontstaan) zal met de twee </w:t>
      </w:r>
      <w:r>
        <w:rPr>
          <w:rFonts w:ascii="Symbol" w:hAnsi="Symbol"/>
        </w:rPr>
        <w:t></w:t>
      </w:r>
      <w:r w:rsidRPr="009517EF">
        <w:rPr>
          <w:lang w:val="nl-NL"/>
        </w:rPr>
        <w:t>-elektronenparen gelijkmatig over het molecuul verdeeld zijn, hetgeen symbolisch door de 5 grensstructuren wordt weergegeven. De CH</w:t>
      </w:r>
      <w:r w:rsidRPr="009517EF">
        <w:rPr>
          <w:vertAlign w:val="subscript"/>
          <w:lang w:val="nl-NL"/>
        </w:rPr>
        <w:t>3</w:t>
      </w:r>
      <w:r w:rsidRPr="009517EF">
        <w:rPr>
          <w:lang w:val="nl-NL"/>
        </w:rPr>
        <w:t>-groep aan C(1) zal eveneens in het vlak der vijfring komen. Gevolg: alle 5 C-atomen zijn even, sterk negatief geladen en hebben gelijke neiging uit een H</w:t>
      </w:r>
      <w:r w:rsidRPr="009517EF">
        <w:rPr>
          <w:vertAlign w:val="subscript"/>
          <w:lang w:val="nl-NL"/>
        </w:rPr>
        <w:t>2</w:t>
      </w:r>
      <w:r w:rsidRPr="009517EF">
        <w:rPr>
          <w:lang w:val="nl-NL"/>
        </w:rPr>
        <w:t>O-molecuul een H</w:t>
      </w:r>
      <w:r w:rsidRPr="009517EF">
        <w:rPr>
          <w:vertAlign w:val="superscript"/>
          <w:lang w:val="nl-NL"/>
        </w:rPr>
        <w:t>+</w:t>
      </w:r>
      <w:r w:rsidRPr="009517EF">
        <w:rPr>
          <w:lang w:val="nl-NL"/>
        </w:rPr>
        <w:t>-ion op te nemen.</w:t>
      </w:r>
    </w:p>
    <w:p w:rsidR="009517EF" w:rsidRDefault="009517EF" w:rsidP="009517EF">
      <w:pPr>
        <w:rPr>
          <w:rFonts w:eastAsiaTheme="minorEastAsia"/>
          <w:bCs/>
          <w:szCs w:val="20"/>
          <w:lang w:eastAsia="nl-NL"/>
        </w:rPr>
      </w:pPr>
      <w:r>
        <w:br w:type="page"/>
      </w:r>
    </w:p>
    <w:p w:rsidR="009517EF" w:rsidRPr="00C36A35" w:rsidRDefault="009517EF" w:rsidP="009517EF">
      <w:pPr>
        <w:pStyle w:val="CSElijst"/>
        <w:numPr>
          <w:ilvl w:val="0"/>
          <w:numId w:val="7"/>
        </w:numPr>
        <w:ind w:left="0" w:hanging="567"/>
        <w:rPr>
          <w:szCs w:val="22"/>
        </w:rPr>
      </w:pPr>
      <w:r>
        <w:t>Uitgaande van grensstructuur V:</w:t>
      </w:r>
    </w:p>
    <w:p w:rsidR="009517EF" w:rsidRPr="000E1FFD" w:rsidRDefault="009517EF" w:rsidP="009517EF">
      <w:r>
        <w:rPr>
          <w:noProof/>
        </w:rPr>
        <w:drawing>
          <wp:inline distT="0" distB="0" distL="0" distR="0" wp14:anchorId="60CDE516" wp14:editId="55DA6B83">
            <wp:extent cx="3785733" cy="1220589"/>
            <wp:effectExtent l="0" t="0" r="5715"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0327" cy="1244639"/>
                    </a:xfrm>
                    <a:prstGeom prst="rect">
                      <a:avLst/>
                    </a:prstGeom>
                  </pic:spPr>
                </pic:pic>
              </a:graphicData>
            </a:graphic>
          </wp:inline>
        </w:drawing>
      </w:r>
      <w:r>
        <w:br/>
      </w:r>
      <w:r w:rsidRPr="00115851">
        <w:t>Uitgaande van grensstru</w:t>
      </w:r>
      <w:r>
        <w:t>c</w:t>
      </w:r>
      <w:r w:rsidRPr="00115851">
        <w:t>tuur II of III:</w:t>
      </w:r>
      <w:r>
        <w:br/>
      </w:r>
      <w:r>
        <w:rPr>
          <w:noProof/>
        </w:rPr>
        <w:drawing>
          <wp:inline distT="0" distB="0" distL="0" distR="0" wp14:anchorId="375B575C" wp14:editId="463324EF">
            <wp:extent cx="3860884" cy="1164841"/>
            <wp:effectExtent l="0" t="0" r="635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31624" cy="1186184"/>
                    </a:xfrm>
                    <a:prstGeom prst="rect">
                      <a:avLst/>
                    </a:prstGeom>
                  </pic:spPr>
                </pic:pic>
              </a:graphicData>
            </a:graphic>
          </wp:inline>
        </w:drawing>
      </w:r>
    </w:p>
    <w:p w:rsidR="009517EF" w:rsidRPr="009517EF" w:rsidRDefault="009517EF" w:rsidP="009517EF">
      <w:pPr>
        <w:pStyle w:val="CSElijst"/>
        <w:numPr>
          <w:ilvl w:val="0"/>
          <w:numId w:val="7"/>
        </w:numPr>
        <w:ind w:left="0" w:hanging="567"/>
        <w:rPr>
          <w:lang w:val="nl-NL"/>
        </w:rPr>
      </w:pPr>
      <w:r w:rsidRPr="009517EF">
        <w:rPr>
          <w:lang w:val="nl-NL"/>
        </w:rPr>
        <w:t xml:space="preserve"> De structuur van het C</w:t>
      </w:r>
      <w:r w:rsidRPr="009517EF">
        <w:rPr>
          <w:vertAlign w:val="subscript"/>
          <w:lang w:val="nl-NL"/>
        </w:rPr>
        <w:t>5</w:t>
      </w:r>
      <w:r w:rsidRPr="009517EF">
        <w:rPr>
          <w:lang w:val="nl-NL"/>
        </w:rPr>
        <w:t>H</w:t>
      </w:r>
      <w:r w:rsidRPr="009517EF">
        <w:rPr>
          <w:vertAlign w:val="subscript"/>
          <w:lang w:val="nl-NL"/>
        </w:rPr>
        <w:t>9</w:t>
      </w:r>
      <w:r w:rsidRPr="009517EF">
        <w:rPr>
          <w:lang w:val="nl-NL"/>
        </w:rPr>
        <w:t>-ion is gekenmerkt door mesomerie. De dubbele bindingen zijn niet gelokaliseerd tussen C(2)-C(3) en C(4)-C(5), maar de elektronen zijn gelijkmatig over de vijfring 'uitgesmeerd'. Het zal dus toeval zijn aan welk C-atoom de H, uit het water, zal komen.</w:t>
      </w:r>
    </w:p>
    <w:bookmarkStart w:id="5" w:name="_Toc490827184"/>
    <w:p w:rsidR="009517EF" w:rsidRDefault="009517EF" w:rsidP="009517EF">
      <w:pPr>
        <w:pStyle w:val="Kop2"/>
      </w:pPr>
      <w:r w:rsidRPr="0018005E">
        <w:rPr>
          <w:noProof/>
        </w:rPr>
        <mc:AlternateContent>
          <mc:Choice Requires="wps">
            <w:drawing>
              <wp:anchor distT="0" distB="0" distL="0" distR="0" simplePos="0" relativeHeight="251669504" behindDoc="0" locked="0" layoutInCell="0" allowOverlap="1" wp14:anchorId="331CCDBA" wp14:editId="730D176F">
                <wp:simplePos x="0" y="0"/>
                <wp:positionH relativeFrom="margin">
                  <wp:align>center</wp:align>
                </wp:positionH>
                <wp:positionV relativeFrom="paragraph">
                  <wp:posOffset>311785</wp:posOffset>
                </wp:positionV>
                <wp:extent cx="6172835" cy="0"/>
                <wp:effectExtent l="0" t="19050" r="56515" b="38100"/>
                <wp:wrapSquare wrapText="bothSides"/>
                <wp:docPr id="3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14755" id="Line 2"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55pt" to="486.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" o:allowincell="f" strokecolor="silver" strokeweight="4.8pt">
                <w10:wrap type="square" anchorx="margin"/>
              </v:line>
            </w:pict>
          </mc:Fallback>
        </mc:AlternateContent>
      </w:r>
      <w:r>
        <w:t>Brønstedzuur</w:t>
      </w:r>
      <w:r>
        <w:tab/>
        <w:t>1975-II(IV)</w:t>
      </w:r>
      <w:bookmarkEnd w:id="5"/>
    </w:p>
    <w:p w:rsidR="009517EF" w:rsidRPr="00C876C9" w:rsidRDefault="009517EF" w:rsidP="009517EF">
      <w:pPr>
        <w:pStyle w:val="CSElijst"/>
        <w:numPr>
          <w:ilvl w:val="0"/>
          <w:numId w:val="7"/>
        </w:numPr>
        <w:ind w:left="0" w:hanging="567"/>
      </w:pPr>
      <w:r w:rsidRPr="000F45C8">
        <w:rPr>
          <w:noProof/>
          <w:position w:val="-130"/>
        </w:rPr>
        <w:drawing>
          <wp:inline distT="0" distB="0" distL="0" distR="0" wp14:anchorId="5848E65F" wp14:editId="7FBABDD3">
            <wp:extent cx="3057707" cy="1205857"/>
            <wp:effectExtent l="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35442" cy="1236513"/>
                    </a:xfrm>
                    <a:prstGeom prst="rect">
                      <a:avLst/>
                    </a:prstGeom>
                  </pic:spPr>
                </pic:pic>
              </a:graphicData>
            </a:graphic>
          </wp:inline>
        </w:drawing>
      </w:r>
    </w:p>
    <w:p w:rsidR="009517EF" w:rsidRPr="00115851" w:rsidRDefault="009517EF" w:rsidP="009517EF">
      <w:pPr>
        <w:pStyle w:val="CSElijst"/>
        <w:numPr>
          <w:ilvl w:val="0"/>
          <w:numId w:val="7"/>
        </w:numPr>
        <w:ind w:left="0" w:hanging="567"/>
      </w:pPr>
      <w:r w:rsidRPr="009517EF">
        <w:rPr>
          <w:lang w:val="nl-NL"/>
        </w:rPr>
        <w:t>Voor waterstofchloride in water geldt [HCl] = 0 want HCl is in water volledig gesplitst, zodat de concentratiebreuk niet is gedefinieerd (of oneindig groot is).</w:t>
      </w:r>
      <w:r w:rsidRPr="009517EF">
        <w:rPr>
          <w:lang w:val="nl-NL"/>
        </w:rPr>
        <w:br/>
      </w:r>
      <w:r w:rsidRPr="00115851">
        <w:t>Hetzelfde geldt voor het zeer sterke zuur HC</w:t>
      </w:r>
      <w:r>
        <w:t>lO</w:t>
      </w:r>
      <w:r w:rsidRPr="009307F9">
        <w:rPr>
          <w:vertAlign w:val="subscript"/>
        </w:rPr>
        <w:t>4</w:t>
      </w:r>
      <w:r>
        <w:t>.</w:t>
      </w:r>
    </w:p>
    <w:p w:rsidR="009517EF" w:rsidRPr="009517EF" w:rsidRDefault="009517EF" w:rsidP="009517EF">
      <w:pPr>
        <w:pStyle w:val="CSElijst"/>
        <w:numPr>
          <w:ilvl w:val="0"/>
          <w:numId w:val="7"/>
        </w:numPr>
        <w:ind w:left="0" w:hanging="567"/>
        <w:rPr>
          <w:lang w:val="nl-NL"/>
        </w:rPr>
      </w:pPr>
      <w:r w:rsidRPr="009517EF">
        <w:rPr>
          <w:lang w:val="nl-NL"/>
        </w:rPr>
        <w:t>Waterstofchloride kan soms een proton afgeven aan azijnzuur dat daarbij als (zeer zwakke) base optreedt:</w:t>
      </w:r>
    </w:p>
    <w:p w:rsidR="009517EF" w:rsidRDefault="009517EF" w:rsidP="009517EF">
      <w:r>
        <w:rPr>
          <w:noProof/>
        </w:rPr>
        <w:drawing>
          <wp:inline distT="0" distB="0" distL="0" distR="0" wp14:anchorId="3A113666" wp14:editId="4160AC83">
            <wp:extent cx="3383863" cy="501677"/>
            <wp:effectExtent l="0" t="0" r="762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70304" cy="529318"/>
                    </a:xfrm>
                    <a:prstGeom prst="rect">
                      <a:avLst/>
                    </a:prstGeom>
                  </pic:spPr>
                </pic:pic>
              </a:graphicData>
            </a:graphic>
          </wp:inline>
        </w:drawing>
      </w:r>
      <w:r>
        <w:br/>
      </w:r>
      <w:r w:rsidRPr="00115851">
        <w:t>Volgens de (vereenvoudigde) schrijfwijze in deze opgave luidt het evenwicht:</w:t>
      </w:r>
    </w:p>
    <w:p w:rsidR="009517EF" w:rsidRPr="005924FF" w:rsidRDefault="009517EF" w:rsidP="009517EF">
      <w:pPr>
        <w:pStyle w:val="Vergelijking"/>
        <w:rPr>
          <w:lang w:val="en-US"/>
        </w:rPr>
      </w:pPr>
      <w:r w:rsidRPr="005924FF">
        <w:rPr>
          <w:lang w:val="en-US"/>
        </w:rPr>
        <w:t>HCl(CH</w:t>
      </w:r>
      <w:r w:rsidRPr="005924FF">
        <w:rPr>
          <w:vertAlign w:val="subscript"/>
          <w:lang w:val="en-US"/>
        </w:rPr>
        <w:t>3</w:t>
      </w:r>
      <w:r w:rsidRPr="005924FF">
        <w:rPr>
          <w:lang w:val="en-US"/>
        </w:rPr>
        <w:t xml:space="preserve">COOH) </w:t>
      </w:r>
      <w:r w:rsidRPr="005924FF">
        <w:rPr>
          <w:rFonts w:ascii="Cambria Math" w:hAnsi="Cambria Math"/>
          <w:lang w:val="en-US"/>
        </w:rPr>
        <w:t>⇌</w:t>
      </w:r>
      <w:r w:rsidRPr="005924FF">
        <w:rPr>
          <w:lang w:val="en-US"/>
        </w:rPr>
        <w:t xml:space="preserve"> H</w:t>
      </w:r>
      <w:r w:rsidRPr="005924FF">
        <w:rPr>
          <w:vertAlign w:val="superscript"/>
          <w:lang w:val="en-US"/>
        </w:rPr>
        <w:t>+</w:t>
      </w:r>
      <w:r w:rsidRPr="005924FF">
        <w:rPr>
          <w:lang w:val="en-US"/>
        </w:rPr>
        <w:t>(CH</w:t>
      </w:r>
      <w:r w:rsidRPr="005924FF">
        <w:rPr>
          <w:vertAlign w:val="subscript"/>
          <w:lang w:val="en-US"/>
        </w:rPr>
        <w:t>3</w:t>
      </w:r>
      <w:r w:rsidRPr="005924FF">
        <w:rPr>
          <w:lang w:val="en-US"/>
        </w:rPr>
        <w:t>COOH) + Cl</w:t>
      </w:r>
      <w:r w:rsidRPr="00115851">
        <w:rPr>
          <w:rFonts w:ascii="Symbol" w:hAnsi="Symbol"/>
          <w:vertAlign w:val="superscript"/>
          <w:lang w:val="en-US"/>
        </w:rPr>
        <w:t></w:t>
      </w:r>
      <w:r w:rsidRPr="005924FF">
        <w:rPr>
          <w:lang w:val="en-US"/>
        </w:rPr>
        <w:t>(CH</w:t>
      </w:r>
      <w:r w:rsidRPr="005924FF">
        <w:rPr>
          <w:vertAlign w:val="subscript"/>
          <w:lang w:val="en-US"/>
        </w:rPr>
        <w:t>3</w:t>
      </w:r>
      <w:r w:rsidRPr="005924FF">
        <w:rPr>
          <w:lang w:val="en-US"/>
        </w:rPr>
        <w:t>COOH);</w:t>
      </w:r>
      <w:r w:rsidRPr="005924FF">
        <w:rPr>
          <w:lang w:val="en-US"/>
        </w:rPr>
        <w:tab/>
        <w:t>(CH</w:t>
      </w:r>
      <w:r w:rsidRPr="005924FF">
        <w:rPr>
          <w:vertAlign w:val="subscript"/>
          <w:lang w:val="en-US"/>
        </w:rPr>
        <w:t>3</w:t>
      </w:r>
      <w:r w:rsidRPr="005924FF">
        <w:rPr>
          <w:lang w:val="en-US"/>
        </w:rPr>
        <w:t>COOH) is solvens.</w:t>
      </w:r>
    </w:p>
    <w:p w:rsidR="009517EF" w:rsidRPr="009517EF" w:rsidRDefault="009517EF" w:rsidP="009517EF">
      <w:pPr>
        <w:pStyle w:val="CSElijst"/>
        <w:numPr>
          <w:ilvl w:val="0"/>
          <w:numId w:val="7"/>
        </w:numPr>
        <w:ind w:left="0" w:hanging="567"/>
        <w:rPr>
          <w:lang w:val="nl-NL"/>
        </w:rPr>
      </w:pPr>
      <w:r w:rsidRPr="009517EF">
        <w:rPr>
          <w:lang w:val="nl-NL"/>
        </w:rPr>
        <w:t xml:space="preserve">De algemene uitdrukking voor de dissociatieconstante </w:t>
      </w:r>
      <w:r w:rsidRPr="009517EF">
        <w:rPr>
          <w:i/>
          <w:lang w:val="nl-NL"/>
        </w:rPr>
        <w:t>K</w:t>
      </w:r>
      <w:r w:rsidRPr="009517EF">
        <w:rPr>
          <w:lang w:val="nl-NL"/>
        </w:rPr>
        <w:t xml:space="preserve"> in een ander oplosmiddel dan water luidt:</w:t>
      </w:r>
    </w:p>
    <w:p w:rsidR="009517EF" w:rsidRPr="005924FF" w:rsidRDefault="009517EF" w:rsidP="009517EF">
      <w:pPr>
        <w:pStyle w:val="Vergelijking"/>
        <w:rPr>
          <w:rFonts w:eastAsiaTheme="minorEastAsia"/>
          <w:i/>
        </w:rPr>
      </w:pPr>
      <m:oMathPara>
        <m:oMathParaPr>
          <m:jc m:val="left"/>
        </m:oMathParaPr>
        <m:oMath>
          <m:r>
            <w:rPr>
              <w:rFonts w:ascii="Cambria Math" w:hAnsi="Cambria Math"/>
            </w:rPr>
            <m:t>K=</m:t>
          </m:r>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B(solv)</m:t>
                  </m:r>
                </m:e>
              </m:d>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r>
                    <m:rPr>
                      <m:sty m:val="p"/>
                    </m:rPr>
                    <w:rPr>
                      <w:rFonts w:ascii="Cambria Math" w:hAnsi="Cambria Math"/>
                    </w:rPr>
                    <m:t>(solv)</m:t>
                  </m:r>
                </m:e>
              </m:d>
            </m:num>
            <m:den>
              <m:d>
                <m:dPr>
                  <m:begChr m:val="["/>
                  <m:endChr m:val="]"/>
                  <m:ctrlPr>
                    <w:rPr>
                      <w:rFonts w:ascii="Cambria Math" w:hAnsi="Cambria Math"/>
                    </w:rPr>
                  </m:ctrlPr>
                </m:dPr>
                <m:e>
                  <m:r>
                    <m:rPr>
                      <m:sty m:val="p"/>
                    </m:rPr>
                    <w:rPr>
                      <w:rFonts w:ascii="Cambria Math" w:hAnsi="Cambria Math"/>
                    </w:rPr>
                    <m:t>Z(solv)</m:t>
                  </m:r>
                </m:e>
              </m:d>
            </m:den>
          </m:f>
        </m:oMath>
      </m:oMathPara>
    </w:p>
    <w:p w:rsidR="009517EF" w:rsidRPr="00027C61" w:rsidRDefault="009517EF" w:rsidP="009517EF">
      <w:r w:rsidRPr="00027C61">
        <w:rPr>
          <w:i/>
        </w:rPr>
        <w:t>K</w:t>
      </w:r>
      <w:r w:rsidRPr="00027C61">
        <w:t xml:space="preserve"> is groter naarmate een zuur meer geïoniseerd voorkomt in de oplossing.</w:t>
      </w:r>
      <w:r>
        <w:br/>
      </w:r>
      <w:r w:rsidRPr="00027C61">
        <w:t>Perchloorzuur (</w:t>
      </w:r>
      <w:r w:rsidRPr="00027C61">
        <w:rPr>
          <w:i/>
        </w:rPr>
        <w:t>K</w:t>
      </w:r>
      <w:r w:rsidRPr="00027C61">
        <w:t xml:space="preserve"> = 1,3</w:t>
      </w:r>
      <w:r>
        <w:sym w:font="Symbol" w:char="F0D7"/>
      </w:r>
      <w:r w:rsidRPr="00027C61">
        <w:t>10</w:t>
      </w:r>
      <w:r w:rsidRPr="00027C61">
        <w:rPr>
          <w:vertAlign w:val="superscript"/>
        </w:rPr>
        <w:sym w:font="Symbol" w:char="F02D"/>
      </w:r>
      <w:r w:rsidRPr="00027C61">
        <w:rPr>
          <w:vertAlign w:val="superscript"/>
        </w:rPr>
        <w:t>5</w:t>
      </w:r>
      <w:r w:rsidRPr="00027C61">
        <w:t>) zal dus een sterker zuur zijn dan waterstofchloride (</w:t>
      </w:r>
      <w:r w:rsidRPr="00027C61">
        <w:rPr>
          <w:i/>
        </w:rPr>
        <w:t>K</w:t>
      </w:r>
      <w:r w:rsidRPr="00027C61">
        <w:t xml:space="preserve"> = 2,8</w:t>
      </w:r>
      <w:r>
        <w:sym w:font="Symbol" w:char="F0D7"/>
      </w:r>
      <w:r w:rsidRPr="00027C61">
        <w:t>10</w:t>
      </w:r>
      <w:r>
        <w:rPr>
          <w:vertAlign w:val="superscript"/>
        </w:rPr>
        <w:sym w:font="Symbol" w:char="F02D"/>
      </w:r>
      <w:r>
        <w:rPr>
          <w:vertAlign w:val="superscript"/>
        </w:rPr>
        <w:t>9</w:t>
      </w:r>
      <w:r>
        <w:t>)</w:t>
      </w:r>
      <w:r w:rsidRPr="00027C61">
        <w:t xml:space="preserve"> in ethaanzuur als oplosmiddel.</w:t>
      </w:r>
    </w:p>
    <w:p w:rsidR="009517EF" w:rsidRPr="009517EF" w:rsidRDefault="009517EF" w:rsidP="009517EF">
      <w:pPr>
        <w:pStyle w:val="CSElijst"/>
        <w:numPr>
          <w:ilvl w:val="0"/>
          <w:numId w:val="7"/>
        </w:numPr>
        <w:ind w:left="0" w:hanging="567"/>
        <w:rPr>
          <w:lang w:val="nl-NL"/>
        </w:rPr>
      </w:pPr>
      <w:r w:rsidRPr="009517EF">
        <w:rPr>
          <w:lang w:val="nl-NL"/>
        </w:rPr>
        <w:t>Geef ethaanzuur (azijnzuur) aan met HAc, dan geldt voor de dissociatie in ethaanzuur zelf:</w:t>
      </w:r>
    </w:p>
    <w:p w:rsidR="009517EF" w:rsidRPr="009C0012" w:rsidRDefault="009517EF" w:rsidP="009517EF">
      <w:pPr>
        <w:pStyle w:val="Vergelijking"/>
        <w:rPr>
          <w:vertAlign w:val="superscript"/>
        </w:rPr>
      </w:pPr>
      <w:r>
        <w:t xml:space="preserve">HAc(HAc) </w:t>
      </w:r>
      <w:r>
        <w:rPr>
          <w:rFonts w:ascii="Cambria Math" w:hAnsi="Cambria Math"/>
        </w:rPr>
        <w:t>⇌</w:t>
      </w:r>
      <w:r>
        <w:t xml:space="preserve"> </w:t>
      </w:r>
      <w:r w:rsidRPr="00027C61">
        <w:t>Ac</w:t>
      </w:r>
      <w:r w:rsidRPr="00027C61">
        <w:rPr>
          <w:vertAlign w:val="superscript"/>
        </w:rPr>
        <w:sym w:font="Symbol" w:char="F02D"/>
      </w:r>
      <w:r>
        <w:t>(HAc) + H</w:t>
      </w:r>
      <w:r>
        <w:rPr>
          <w:vertAlign w:val="superscript"/>
        </w:rPr>
        <w:t>+</w:t>
      </w:r>
      <w:r>
        <w:t>(HAc) w</w:t>
      </w:r>
      <w:r w:rsidRPr="00027C61">
        <w:t>aarbij</w:t>
      </w:r>
      <w:r>
        <w:t xml:space="preserve"> </w:t>
      </w:r>
      <m:oMath>
        <m:r>
          <w:rPr>
            <w:rFonts w:ascii="Cambria Math" w:hAnsi="Cambria Math"/>
            <w:vertAlign w:val="subscript"/>
          </w:rPr>
          <m:t>K=</m:t>
        </m:r>
        <m:f>
          <m:fPr>
            <m:ctrlPr>
              <w:rPr>
                <w:rFonts w:ascii="Cambria Math" w:hAnsi="Cambria Math" w:cs="Times New Roman"/>
                <w:vertAlign w:val="subscript"/>
              </w:rPr>
            </m:ctrlPr>
          </m:fPr>
          <m:num>
            <m:d>
              <m:dPr>
                <m:begChr m:val="["/>
                <m:endChr m:val="]"/>
                <m:ctrlPr>
                  <w:rPr>
                    <w:rFonts w:ascii="Cambria Math" w:hAnsi="Cambria Math" w:cs="Times New Roman"/>
                    <w:vertAlign w:val="subscript"/>
                  </w:rPr>
                </m:ctrlPr>
              </m:dPr>
              <m:e>
                <m:sSup>
                  <m:sSupPr>
                    <m:ctrlPr>
                      <w:rPr>
                        <w:rFonts w:ascii="Cambria Math" w:hAnsi="Cambria Math" w:cs="Times New Roman"/>
                        <w:vertAlign w:val="subscript"/>
                      </w:rPr>
                    </m:ctrlPr>
                  </m:sSupPr>
                  <m:e>
                    <m:r>
                      <m:rPr>
                        <m:sty m:val="p"/>
                      </m:rPr>
                      <w:rPr>
                        <w:rFonts w:ascii="Cambria Math" w:hAnsi="Cambria Math"/>
                        <w:vertAlign w:val="subscript"/>
                      </w:rPr>
                      <m:t>Ac</m:t>
                    </m:r>
                  </m:e>
                  <m:sup>
                    <m:r>
                      <m:rPr>
                        <m:sty m:val="p"/>
                      </m:rPr>
                      <w:rPr>
                        <w:rFonts w:ascii="Cambria Math" w:hAnsi="Cambria Math"/>
                        <w:vertAlign w:val="subscript"/>
                      </w:rPr>
                      <m:t>-</m:t>
                    </m:r>
                  </m:sup>
                </m:sSup>
                <m:r>
                  <m:rPr>
                    <m:sty m:val="p"/>
                  </m:rPr>
                  <w:rPr>
                    <w:rFonts w:ascii="Cambria Math" w:hAnsi="Cambria Math"/>
                    <w:vertAlign w:val="subscript"/>
                  </w:rPr>
                  <m:t>(HAc)</m:t>
                </m:r>
              </m:e>
            </m:d>
            <m:d>
              <m:dPr>
                <m:begChr m:val="["/>
                <m:endChr m:val="]"/>
                <m:ctrlPr>
                  <w:rPr>
                    <w:rFonts w:ascii="Cambria Math" w:hAnsi="Cambria Math" w:cs="Times New Roman"/>
                    <w:vertAlign w:val="subscript"/>
                  </w:rPr>
                </m:ctrlPr>
              </m:dPr>
              <m:e>
                <m:sSup>
                  <m:sSupPr>
                    <m:ctrlPr>
                      <w:rPr>
                        <w:rFonts w:ascii="Cambria Math" w:hAnsi="Cambria Math" w:cs="Times New Roman"/>
                        <w:vertAlign w:val="subscript"/>
                      </w:rPr>
                    </m:ctrlPr>
                  </m:sSupPr>
                  <m:e>
                    <m:r>
                      <m:rPr>
                        <m:sty m:val="p"/>
                      </m:rPr>
                      <w:rPr>
                        <w:rFonts w:ascii="Cambria Math" w:hAnsi="Cambria Math"/>
                        <w:vertAlign w:val="subscript"/>
                      </w:rPr>
                      <m:t>H</m:t>
                    </m:r>
                  </m:e>
                  <m:sup>
                    <m:r>
                      <m:rPr>
                        <m:sty m:val="p"/>
                      </m:rPr>
                      <w:rPr>
                        <w:rFonts w:ascii="Cambria Math" w:hAnsi="Cambria Math"/>
                        <w:vertAlign w:val="subscript"/>
                      </w:rPr>
                      <m:t>+</m:t>
                    </m:r>
                  </m:sup>
                </m:sSup>
                <m:r>
                  <m:rPr>
                    <m:sty m:val="p"/>
                  </m:rPr>
                  <w:rPr>
                    <w:rFonts w:ascii="Cambria Math" w:hAnsi="Cambria Math"/>
                    <w:vertAlign w:val="subscript"/>
                  </w:rPr>
                  <m:t>(HAc)</m:t>
                </m:r>
              </m:e>
            </m:d>
          </m:num>
          <m:den>
            <m:d>
              <m:dPr>
                <m:begChr m:val="["/>
                <m:endChr m:val="]"/>
                <m:ctrlPr>
                  <w:rPr>
                    <w:rFonts w:ascii="Cambria Math" w:hAnsi="Cambria Math" w:cs="Times New Roman"/>
                    <w:vertAlign w:val="subscript"/>
                  </w:rPr>
                </m:ctrlPr>
              </m:dPr>
              <m:e>
                <m:r>
                  <m:rPr>
                    <m:sty m:val="p"/>
                  </m:rPr>
                  <w:rPr>
                    <w:rFonts w:ascii="Cambria Math" w:hAnsi="Cambria Math"/>
                    <w:vertAlign w:val="subscript"/>
                  </w:rPr>
                  <m:t>HAc(HAc)</m:t>
                </m:r>
              </m:e>
            </m:d>
          </m:den>
        </m:f>
      </m:oMath>
      <w:r w:rsidRPr="009C0012">
        <w:rPr>
          <w:rFonts w:eastAsiaTheme="minorEastAsia"/>
        </w:rPr>
        <w:t xml:space="preserve"> </w:t>
      </w:r>
      <w:r>
        <w:rPr>
          <w:rFonts w:eastAsiaTheme="minorEastAsia"/>
        </w:rPr>
        <w:t>= 2,5</w:t>
      </w:r>
      <w:r>
        <w:rPr>
          <w:rFonts w:eastAsiaTheme="minorEastAsia"/>
        </w:rPr>
        <w:sym w:font="Symbol" w:char="F0D7"/>
      </w:r>
      <w:r>
        <w:rPr>
          <w:rFonts w:eastAsiaTheme="minorEastAsia"/>
        </w:rPr>
        <w:t>10</w:t>
      </w:r>
      <w:r>
        <w:rPr>
          <w:rFonts w:eastAsiaTheme="minorEastAsia"/>
          <w:vertAlign w:val="superscript"/>
        </w:rPr>
        <w:sym w:font="Symbol" w:char="F02D"/>
      </w:r>
      <w:r>
        <w:rPr>
          <w:rFonts w:eastAsiaTheme="minorEastAsia"/>
          <w:vertAlign w:val="superscript"/>
        </w:rPr>
        <w:t>13</w:t>
      </w:r>
    </w:p>
    <w:p w:rsidR="009517EF" w:rsidRDefault="009517EF" w:rsidP="009517EF">
      <w:pPr>
        <w:tabs>
          <w:tab w:val="right" w:pos="8280"/>
        </w:tabs>
        <w:kinsoku w:val="0"/>
        <w:overflowPunct w:val="0"/>
        <w:textAlignment w:val="baseline"/>
      </w:pPr>
      <w:r w:rsidRPr="007D12F1">
        <w:t>Stel [Ac</w:t>
      </w:r>
      <w:r w:rsidRPr="008D320A">
        <w:rPr>
          <w:rFonts w:ascii="Symbol" w:hAnsi="Symbol"/>
          <w:vertAlign w:val="superscript"/>
        </w:rPr>
        <w:t></w:t>
      </w:r>
      <w:r w:rsidRPr="007D12F1">
        <w:t xml:space="preserve">] = </w:t>
      </w:r>
      <w:r w:rsidRPr="009C0012">
        <w:rPr>
          <w:i/>
        </w:rPr>
        <w:t>x</w:t>
      </w:r>
      <w:r w:rsidRPr="007D12F1">
        <w:t>. Volgens evenwicht geldt [Ac</w:t>
      </w:r>
      <w:r w:rsidRPr="008D320A">
        <w:rPr>
          <w:rFonts w:ascii="Symbol" w:hAnsi="Symbol"/>
          <w:vertAlign w:val="superscript"/>
        </w:rPr>
        <w:t></w:t>
      </w:r>
      <w:r w:rsidRPr="007D12F1">
        <w:t>]</w:t>
      </w:r>
      <w:r>
        <w:tab/>
        <w:t xml:space="preserve">= </w:t>
      </w:r>
      <w:r w:rsidRPr="007D12F1">
        <w:t>[H</w:t>
      </w:r>
      <w:r>
        <w:rPr>
          <w:vertAlign w:val="superscript"/>
        </w:rPr>
        <w:t>+</w:t>
      </w:r>
      <w:r>
        <w:t>].</w:t>
      </w:r>
      <w:r w:rsidRPr="007D12F1">
        <w:t xml:space="preserve"> S.m. van HAc is 1,0</w:t>
      </w:r>
      <w:r>
        <w:t>5</w:t>
      </w:r>
      <w:r w:rsidRPr="007D12F1">
        <w:t xml:space="preserve"> g/m</w:t>
      </w:r>
      <w:r>
        <w:t>L</w:t>
      </w:r>
      <w:r w:rsidRPr="007D12F1">
        <w:t xml:space="preserve"> = 1050 g/</w:t>
      </w:r>
      <w:r>
        <w:t xml:space="preserve">L </w:t>
      </w:r>
      <w:r>
        <w:sym w:font="Symbol" w:char="F0DE"/>
      </w:r>
      <w:r>
        <w:br/>
      </w:r>
      <w:r w:rsidRPr="007D12F1">
        <w:t xml:space="preserve">1 liter HAc bevat 1050 g HAc = </w:t>
      </w:r>
      <m:oMath>
        <m:f>
          <m:fPr>
            <m:ctrlPr>
              <w:rPr>
                <w:rFonts w:ascii="Cambria Math" w:hAnsi="Cambria Math"/>
                <w:i/>
              </w:rPr>
            </m:ctrlPr>
          </m:fPr>
          <m:num>
            <m:r>
              <w:rPr>
                <w:rFonts w:ascii="Cambria Math" w:hAnsi="Cambria Math"/>
              </w:rPr>
              <m:t>1050</m:t>
            </m:r>
          </m:num>
          <m:den>
            <m:r>
              <w:rPr>
                <w:rFonts w:ascii="Cambria Math" w:hAnsi="Cambria Math"/>
              </w:rPr>
              <m:t>60</m:t>
            </m:r>
          </m:den>
        </m:f>
      </m:oMath>
      <w:r>
        <w:t xml:space="preserve"> </w:t>
      </w:r>
      <w:r w:rsidRPr="009C0012">
        <w:t>m</w:t>
      </w:r>
      <w:r w:rsidRPr="007D12F1">
        <w:t>ol = 17,5 mol HAc</w:t>
      </w:r>
      <w:r>
        <w:t xml:space="preserve"> </w:t>
      </w:r>
      <w:r>
        <w:sym w:font="Symbol" w:char="F0DE"/>
      </w:r>
      <w:r>
        <w:t xml:space="preserve"> </w:t>
      </w:r>
      <w:r w:rsidRPr="007D12F1">
        <w:t>[HAc] = 17,5 mo</w:t>
      </w:r>
      <w:r>
        <w:t>l</w:t>
      </w:r>
      <w:r w:rsidRPr="007D12F1">
        <w:t>/</w:t>
      </w:r>
      <w:r>
        <w:t>L</w:t>
      </w:r>
      <w:r w:rsidRPr="007D12F1">
        <w:t>.</w:t>
      </w:r>
      <w:r>
        <w:br/>
      </w:r>
      <w:r w:rsidRPr="007D12F1">
        <w:t>[HAc] in het</w:t>
      </w:r>
      <w:r>
        <w:t xml:space="preserve"> </w:t>
      </w:r>
      <w:r w:rsidRPr="007D12F1">
        <w:t>evenwicht wordt dan (17,5</w:t>
      </w:r>
      <w:r>
        <w:sym w:font="Symbol" w:char="F02D"/>
      </w:r>
      <w:r w:rsidRPr="009C0012">
        <w:rPr>
          <w:i/>
        </w:rPr>
        <w:t>x</w:t>
      </w:r>
      <w:r w:rsidRPr="007D12F1">
        <w:t>) mol/</w:t>
      </w:r>
      <w:r>
        <w:t>L</w:t>
      </w:r>
      <w:r w:rsidRPr="007D12F1">
        <w:t xml:space="preserve"> waarbij </w:t>
      </w:r>
      <w:r w:rsidRPr="009C0012">
        <w:rPr>
          <w:i/>
        </w:rPr>
        <w:t>x</w:t>
      </w:r>
      <w:r w:rsidRPr="007D12F1">
        <w:t xml:space="preserve"> verwaarloosbaar klein is t.o.v. 17,5</w:t>
      </w:r>
      <w:r>
        <w:t xml:space="preserve"> </w:t>
      </w:r>
      <w:r>
        <w:sym w:font="Symbol" w:char="F0DE"/>
      </w:r>
    </w:p>
    <w:p w:rsidR="009517EF" w:rsidRPr="009C0012" w:rsidRDefault="009517EF" w:rsidP="009517EF">
      <w:pPr>
        <w:pStyle w:val="Vergelijking"/>
      </w:pPr>
      <m:oMath>
        <m:r>
          <w:rPr>
            <w:rFonts w:ascii="Cambria Math" w:hAnsi="Cambria Math"/>
          </w:rPr>
          <m:t>K=</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rPr>
                  <m:t>x</m:t>
                </m:r>
              </m:e>
              <m:sup>
                <m:r>
                  <w:rPr>
                    <w:rFonts w:ascii="Cambria Math" w:hAnsi="Cambria Math"/>
                  </w:rPr>
                  <m:t>2</m:t>
                </m:r>
              </m:sup>
            </m:sSup>
          </m:num>
          <m:den>
            <m:r>
              <w:rPr>
                <w:rFonts w:ascii="Cambria Math" w:hAnsi="Cambria Math"/>
              </w:rPr>
              <m:t>17,5</m:t>
            </m:r>
          </m:den>
        </m:f>
        <m:r>
          <w:rPr>
            <w:rFonts w:ascii="Cambria Math" w:hAnsi="Cambria Math"/>
          </w:rPr>
          <m:t xml:space="preserve"> </m:t>
        </m:r>
      </m:oMath>
      <w:r>
        <w:t>= 2,5</w:t>
      </w:r>
      <w:r>
        <w:sym w:font="Symbol" w:char="F0D7"/>
      </w:r>
      <w:r>
        <w:t>10</w:t>
      </w:r>
      <w:r>
        <w:rPr>
          <w:vertAlign w:val="superscript"/>
        </w:rPr>
        <w:sym w:font="Symbol" w:char="F02D"/>
      </w:r>
      <w:r>
        <w:rPr>
          <w:vertAlign w:val="superscript"/>
        </w:rPr>
        <w:t>13</w:t>
      </w:r>
      <w:r>
        <w:t xml:space="preserve"> </w:t>
      </w:r>
      <w:r>
        <w:sym w:font="Symbol" w:char="F0DE"/>
      </w:r>
      <w:r>
        <w:t xml:space="preserve"> </w:t>
      </w:r>
      <w:r>
        <w:rPr>
          <w:i/>
        </w:rPr>
        <w:t>x</w:t>
      </w:r>
      <w:r>
        <w:rPr>
          <w:vertAlign w:val="superscript"/>
        </w:rPr>
        <w:t>2</w:t>
      </w:r>
      <w:r>
        <w:t xml:space="preserve"> = 17,5 × 2,5</w:t>
      </w:r>
      <w:r>
        <w:sym w:font="Symbol" w:char="F0D7"/>
      </w:r>
      <w:r>
        <w:t>10</w:t>
      </w:r>
      <w:r>
        <w:rPr>
          <w:vertAlign w:val="superscript"/>
        </w:rPr>
        <w:sym w:font="Symbol" w:char="F02D"/>
      </w:r>
      <w:r>
        <w:rPr>
          <w:vertAlign w:val="superscript"/>
        </w:rPr>
        <w:t>13</w:t>
      </w:r>
      <w:r>
        <w:t xml:space="preserve"> = 438</w:t>
      </w:r>
      <w:r>
        <w:sym w:font="Symbol" w:char="F0D7"/>
      </w:r>
      <w:r>
        <w:t>10</w:t>
      </w:r>
      <w:r>
        <w:rPr>
          <w:vertAlign w:val="superscript"/>
        </w:rPr>
        <w:sym w:font="Symbol" w:char="F02D"/>
      </w:r>
      <w:r>
        <w:rPr>
          <w:vertAlign w:val="superscript"/>
        </w:rPr>
        <w:t>14</w:t>
      </w:r>
      <w:r>
        <w:t xml:space="preserve"> </w:t>
      </w:r>
      <w:r>
        <w:sym w:font="Symbol" w:char="F0DE"/>
      </w:r>
      <w:r>
        <w:t xml:space="preserve"> </w:t>
      </w:r>
      <w:r>
        <w:rPr>
          <w:i/>
        </w:rPr>
        <w:t>x</w:t>
      </w:r>
      <w:r>
        <w:t xml:space="preserve"> = 20,9</w:t>
      </w:r>
      <w:r>
        <w:sym w:font="Symbol" w:char="F0D7"/>
      </w:r>
      <w:r>
        <w:t>10</w:t>
      </w:r>
      <w:r>
        <w:rPr>
          <w:vertAlign w:val="superscript"/>
        </w:rPr>
        <w:sym w:font="Symbol" w:char="F02D"/>
      </w:r>
      <w:r>
        <w:rPr>
          <w:vertAlign w:val="superscript"/>
        </w:rPr>
        <w:t>7</w:t>
      </w:r>
      <w:r>
        <w:t>.</w:t>
      </w:r>
    </w:p>
    <w:p w:rsidR="009517EF" w:rsidRDefault="009517EF" w:rsidP="009517EF">
      <w:pPr>
        <w:tabs>
          <w:tab w:val="right" w:pos="8280"/>
        </w:tabs>
        <w:kinsoku w:val="0"/>
        <w:overflowPunct w:val="0"/>
        <w:textAlignment w:val="baseline"/>
      </w:pPr>
      <w:r w:rsidRPr="007D12F1">
        <w:t>Van</w:t>
      </w:r>
      <w:r>
        <w:t xml:space="preserve"> </w:t>
      </w:r>
      <w:r w:rsidRPr="007D12F1">
        <w:t>de 17,5 mol HAc die in 1 liter aanwezig is, is dus 20,9.10</w:t>
      </w:r>
      <w:r w:rsidRPr="008D320A">
        <w:rPr>
          <w:rFonts w:ascii="Symbol" w:hAnsi="Symbol"/>
          <w:vertAlign w:val="superscript"/>
        </w:rPr>
        <w:t></w:t>
      </w:r>
      <w:r>
        <w:rPr>
          <w:vertAlign w:val="superscript"/>
        </w:rPr>
        <w:t>7</w:t>
      </w:r>
      <w:r w:rsidRPr="007D12F1">
        <w:t xml:space="preserve"> mol gedissociëerd, dat is (slechts)</w:t>
      </w:r>
    </w:p>
    <w:p w:rsidR="009517EF" w:rsidRPr="0033152F" w:rsidRDefault="002D3BCA" w:rsidP="009517EF">
      <w:pPr>
        <w:tabs>
          <w:tab w:val="right" w:pos="8280"/>
        </w:tabs>
        <w:kinsoku w:val="0"/>
        <w:overflowPunct w:val="0"/>
        <w:textAlignment w:val="baseline"/>
      </w:pPr>
      <m:oMath>
        <m:f>
          <m:fPr>
            <m:ctrlPr>
              <w:rPr>
                <w:rFonts w:ascii="Cambria Math" w:hAnsi="Cambria Math"/>
                <w:i/>
              </w:rPr>
            </m:ctrlPr>
          </m:fPr>
          <m:num>
            <m:r>
              <w:rPr>
                <w:rFonts w:ascii="Cambria Math" w:hAnsi="Cambria Math"/>
              </w:rPr>
              <m:t>20,9∙</m:t>
            </m:r>
            <m:sSup>
              <m:sSupPr>
                <m:ctrlPr>
                  <w:rPr>
                    <w:rFonts w:ascii="Cambria Math" w:hAnsi="Cambria Math"/>
                    <w:i/>
                  </w:rPr>
                </m:ctrlPr>
              </m:sSupPr>
              <m:e>
                <m:r>
                  <w:rPr>
                    <w:rFonts w:ascii="Cambria Math" w:hAnsi="Cambria Math"/>
                  </w:rPr>
                  <m:t>10</m:t>
                </m:r>
              </m:e>
              <m:sup>
                <m:r>
                  <w:rPr>
                    <w:rFonts w:ascii="Cambria Math" w:hAnsi="Cambria Math"/>
                  </w:rPr>
                  <m:t>-7</m:t>
                </m:r>
              </m:sup>
            </m:sSup>
          </m:num>
          <m:den>
            <m:r>
              <w:rPr>
                <w:rFonts w:ascii="Cambria Math" w:hAnsi="Cambria Math"/>
              </w:rPr>
              <m:t>17,5</m:t>
            </m:r>
          </m:den>
        </m:f>
        <m:r>
          <w:rPr>
            <w:rFonts w:ascii="Cambria Math" w:hAnsi="Cambria Math"/>
          </w:rPr>
          <m:t>×</m:t>
        </m:r>
      </m:oMath>
      <w:r w:rsidR="009517EF" w:rsidRPr="0033152F">
        <w:rPr>
          <w:rFonts w:eastAsiaTheme="minorEastAsia"/>
        </w:rPr>
        <w:t xml:space="preserve"> 100% =</w:t>
      </w:r>
      <w:r w:rsidR="009517EF">
        <w:rPr>
          <w:rFonts w:eastAsiaTheme="minorEastAsia"/>
        </w:rPr>
        <w:t xml:space="preserve"> 1,2</w:t>
      </w:r>
      <w:r w:rsidR="009517EF">
        <w:rPr>
          <w:rFonts w:eastAsiaTheme="minorEastAsia"/>
        </w:rPr>
        <w:sym w:font="Symbol" w:char="F0D7"/>
      </w:r>
      <w:r w:rsidR="009517EF">
        <w:rPr>
          <w:rFonts w:eastAsiaTheme="minorEastAsia"/>
        </w:rPr>
        <w:t>10</w:t>
      </w:r>
      <w:r w:rsidR="009517EF">
        <w:rPr>
          <w:rFonts w:eastAsiaTheme="minorEastAsia"/>
          <w:vertAlign w:val="superscript"/>
        </w:rPr>
        <w:sym w:font="Symbol" w:char="F02D"/>
      </w:r>
      <w:r w:rsidR="009517EF">
        <w:rPr>
          <w:rFonts w:eastAsiaTheme="minorEastAsia"/>
          <w:vertAlign w:val="superscript"/>
        </w:rPr>
        <w:t>5</w:t>
      </w:r>
      <w:r w:rsidR="009517EF">
        <w:rPr>
          <w:rFonts w:eastAsiaTheme="minorEastAsia"/>
        </w:rPr>
        <w:t>%.</w:t>
      </w:r>
    </w:p>
    <w:p w:rsidR="00BC18B7" w:rsidRDefault="009517EF" w:rsidP="006C54DB">
      <w:pPr>
        <w:pStyle w:val="OpmCurs"/>
      </w:pPr>
      <w:r w:rsidRPr="007D12F1">
        <w:t xml:space="preserve">Opmerking: De schrijfwijze HAc + HAc </w:t>
      </w:r>
      <w:r w:rsidRPr="0033152F">
        <w:rPr>
          <w:rFonts w:ascii="Cambria Math" w:hAnsi="Cambria Math"/>
        </w:rPr>
        <w:t>⇌</w:t>
      </w:r>
      <w:r w:rsidRPr="007D12F1">
        <w:t xml:space="preserve"> Ac</w:t>
      </w:r>
      <w:r w:rsidRPr="008D320A">
        <w:rPr>
          <w:rFonts w:ascii="Symbol" w:hAnsi="Symbol"/>
          <w:vertAlign w:val="superscript"/>
        </w:rPr>
        <w:t></w:t>
      </w:r>
      <w:r w:rsidRPr="007D12F1">
        <w:t xml:space="preserve"> + H</w:t>
      </w:r>
      <w:r w:rsidRPr="007D12F1">
        <w:rPr>
          <w:vertAlign w:val="subscript"/>
        </w:rPr>
        <w:t>2</w:t>
      </w:r>
      <w:r w:rsidRPr="007D12F1">
        <w:t>Ac</w:t>
      </w:r>
      <w:r w:rsidRPr="007D12F1">
        <w:rPr>
          <w:vertAlign w:val="superscript"/>
        </w:rPr>
        <w:t>+</w:t>
      </w:r>
      <w:r w:rsidRPr="007D12F1">
        <w:t xml:space="preserve"> leidt tot een evenwichts</w:t>
      </w:r>
      <w:r>
        <w:t>c</w:t>
      </w:r>
      <w:r w:rsidRPr="007D12F1">
        <w:t>onstante</w:t>
      </w:r>
      <w:r>
        <w:br/>
      </w:r>
      <m:oMath>
        <m:r>
          <w:rPr>
            <w:rFonts w:ascii="Cambria Math" w:hAnsi="Cambria Math"/>
          </w:rPr>
          <m:t>K=</m:t>
        </m:r>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w:rPr>
                        <w:rFonts w:ascii="Cambria Math" w:hAnsi="Cambria Math"/>
                      </w:rPr>
                      <m:t>Ac</m:t>
                    </m:r>
                  </m:e>
                  <m:sup>
                    <m:r>
                      <w:rPr>
                        <w:rFonts w:ascii="Cambria Math" w:hAnsi="Cambria Math"/>
                      </w:rPr>
                      <m:t>-</m:t>
                    </m:r>
                  </m:sup>
                </m:sSup>
              </m:e>
            </m:d>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w:rPr>
                        <w:rFonts w:ascii="Cambria Math" w:hAnsi="Cambria Math"/>
                      </w:rPr>
                      <m:t>2</m:t>
                    </m:r>
                  </m:sub>
                </m:sSub>
                <m:sSup>
                  <m:sSupPr>
                    <m:ctrlPr>
                      <w:rPr>
                        <w:rFonts w:ascii="Cambria Math" w:hAnsi="Cambria Math"/>
                      </w:rPr>
                    </m:ctrlPr>
                  </m:sSupPr>
                  <m:e>
                    <m:r>
                      <w:rPr>
                        <w:rFonts w:ascii="Cambria Math" w:hAnsi="Cambria Math"/>
                      </w:rPr>
                      <m:t>Ac</m:t>
                    </m:r>
                  </m:e>
                  <m:sup>
                    <m:r>
                      <w:rPr>
                        <w:rFonts w:ascii="Cambria Math" w:hAnsi="Cambria Math"/>
                      </w:rPr>
                      <m:t>+</m:t>
                    </m:r>
                  </m:sup>
                </m:sSup>
              </m:e>
            </m:d>
          </m:num>
          <m:den>
            <m:sSup>
              <m:sSupPr>
                <m:ctrlPr>
                  <w:rPr>
                    <w:rFonts w:ascii="Cambria Math" w:hAnsi="Cambria Math"/>
                  </w:rPr>
                </m:ctrlPr>
              </m:sSupPr>
              <m:e>
                <m:d>
                  <m:dPr>
                    <m:begChr m:val="["/>
                    <m:endChr m:val="]"/>
                    <m:ctrlPr>
                      <w:rPr>
                        <w:rFonts w:ascii="Cambria Math" w:hAnsi="Cambria Math"/>
                      </w:rPr>
                    </m:ctrlPr>
                  </m:dPr>
                  <m:e>
                    <m:r>
                      <w:rPr>
                        <w:rFonts w:ascii="Cambria Math" w:hAnsi="Cambria Math"/>
                      </w:rPr>
                      <m:t>HAc</m:t>
                    </m:r>
                  </m:e>
                </m:d>
              </m:e>
              <m:sup>
                <m:r>
                  <w:rPr>
                    <w:rFonts w:ascii="Cambria Math" w:hAnsi="Cambria Math"/>
                  </w:rPr>
                  <m:t>2</m:t>
                </m:r>
              </m:sup>
            </m:sSup>
          </m:den>
        </m:f>
      </m:oMath>
      <w:r>
        <w:rPr>
          <w:rFonts w:eastAsiaTheme="minorEastAsia"/>
        </w:rPr>
        <w:t xml:space="preserve"> </w:t>
      </w:r>
      <w:r w:rsidRPr="007D12F1">
        <w:t xml:space="preserve">waarin [HAc] in het kwadraat voorkomt. Daardoor is deze </w:t>
      </w:r>
      <w:r w:rsidRPr="004B3318">
        <w:rPr>
          <w:i w:val="0"/>
        </w:rPr>
        <w:t>niet</w:t>
      </w:r>
      <w:r w:rsidRPr="007D12F1">
        <w:t xml:space="preserve"> vergelijkbaar met de </w:t>
      </w:r>
      <w:r w:rsidRPr="0033152F">
        <w:t>K</w:t>
      </w:r>
      <w:r w:rsidRPr="007D12F1">
        <w:t>-waarden,</w:t>
      </w:r>
      <w:r>
        <w:t xml:space="preserve"> </w:t>
      </w:r>
      <w:r w:rsidRPr="007D12F1">
        <w:t>genoemd in de opgave.</w:t>
      </w:r>
    </w:p>
    <w:sectPr w:rsidR="00BC18B7" w:rsidSect="006C54DB">
      <w:footerReference w:type="default" r:id="rId15"/>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38F" w:rsidRDefault="0033438F" w:rsidP="009517EF">
      <w:r>
        <w:separator/>
      </w:r>
    </w:p>
  </w:endnote>
  <w:endnote w:type="continuationSeparator" w:id="0">
    <w:p w:rsidR="0033438F" w:rsidRDefault="0033438F" w:rsidP="0095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495697"/>
      <w:docPartObj>
        <w:docPartGallery w:val="Page Numbers (Bottom of Page)"/>
        <w:docPartUnique/>
      </w:docPartObj>
    </w:sdtPr>
    <w:sdtEndPr/>
    <w:sdtContent>
      <w:p w:rsidR="006C54DB" w:rsidRPr="00907C5E" w:rsidRDefault="006C54DB">
        <w:pPr>
          <w:pStyle w:val="Voettekst"/>
        </w:pPr>
        <w:r w:rsidRPr="00907C5E">
          <w:t>Sk-VWO 1975-II</w:t>
        </w:r>
        <w:r w:rsidRPr="00D076A7">
          <w:t> </w:t>
        </w:r>
        <w:r>
          <w:t>uitwerkingen</w:t>
        </w:r>
        <w:r w:rsidRPr="00907C5E">
          <w:t>_PdG, juli 2017</w:t>
        </w:r>
        <w:r w:rsidRPr="00907C5E">
          <w:tab/>
        </w:r>
        <w:r>
          <w:fldChar w:fldCharType="begin"/>
        </w:r>
        <w:r w:rsidRPr="00907C5E">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38F" w:rsidRDefault="0033438F" w:rsidP="009517EF">
      <w:r>
        <w:separator/>
      </w:r>
    </w:p>
  </w:footnote>
  <w:footnote w:type="continuationSeparator" w:id="0">
    <w:p w:rsidR="0033438F" w:rsidRDefault="0033438F" w:rsidP="00951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006619"/>
    <w:multiLevelType w:val="singleLevel"/>
    <w:tmpl w:val="6F92CA6A"/>
    <w:lvl w:ilvl="0">
      <w:start w:val="1"/>
      <w:numFmt w:val="decimal"/>
      <w:lvlText w:val="█ Opgave %1"/>
      <w:lvlJc w:val="center"/>
      <w:pPr>
        <w:tabs>
          <w:tab w:val="num" w:pos="903"/>
        </w:tabs>
        <w:ind w:left="903" w:hanging="903"/>
      </w:pPr>
      <w:rPr>
        <w:rFonts w:ascii="Times New Roman" w:hAnsi="Times New Roman" w:hint="default"/>
        <w:b/>
        <w:i w:val="0"/>
        <w:sz w:val="28"/>
      </w:r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4"/>
  </w:num>
  <w:num w:numId="6">
    <w:abstractNumId w:val="4"/>
  </w:num>
  <w:num w:numId="7">
    <w:abstractNumId w:val="9"/>
  </w:num>
  <w:num w:numId="8">
    <w:abstractNumId w:val="9"/>
  </w:num>
  <w:num w:numId="9">
    <w:abstractNumId w:val="9"/>
  </w:num>
  <w:num w:numId="10">
    <w:abstractNumId w:val="9"/>
  </w:num>
  <w:num w:numId="11">
    <w:abstractNumId w:val="9"/>
  </w:num>
  <w:num w:numId="12">
    <w:abstractNumId w:val="3"/>
  </w:num>
  <w:num w:numId="13">
    <w:abstractNumId w:val="8"/>
  </w:num>
  <w:num w:numId="14">
    <w:abstractNumId w:val="3"/>
  </w:num>
  <w:num w:numId="15">
    <w:abstractNumId w:val="0"/>
  </w:num>
  <w:num w:numId="16">
    <w:abstractNumId w:val="7"/>
  </w:num>
  <w:num w:numId="17">
    <w:abstractNumId w:val="5"/>
  </w:num>
  <w:num w:numId="18">
    <w:abstractNumId w:val="9"/>
    <w:lvlOverride w:ilvl="0">
      <w:startOverride w:val="1"/>
    </w:lvlOverride>
  </w:num>
  <w:num w:numId="19">
    <w:abstractNumId w:val="6"/>
  </w:num>
  <w:num w:numId="20">
    <w:abstractNumId w:val="9"/>
    <w:lvlOverride w:ilvl="0">
      <w:startOverride w:val="1"/>
    </w:lvlOverride>
  </w:num>
  <w:num w:numId="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EF"/>
    <w:rsid w:val="000016CD"/>
    <w:rsid w:val="00095AFC"/>
    <w:rsid w:val="000C024B"/>
    <w:rsid w:val="002B0F5C"/>
    <w:rsid w:val="002B24C5"/>
    <w:rsid w:val="002D3BCA"/>
    <w:rsid w:val="00300992"/>
    <w:rsid w:val="00331832"/>
    <w:rsid w:val="0033438F"/>
    <w:rsid w:val="0040277F"/>
    <w:rsid w:val="00407D6E"/>
    <w:rsid w:val="00443364"/>
    <w:rsid w:val="004A0569"/>
    <w:rsid w:val="005B4D14"/>
    <w:rsid w:val="00672ACD"/>
    <w:rsid w:val="006C54DB"/>
    <w:rsid w:val="007040CC"/>
    <w:rsid w:val="00710734"/>
    <w:rsid w:val="007D0E50"/>
    <w:rsid w:val="00826564"/>
    <w:rsid w:val="008337B7"/>
    <w:rsid w:val="0086759D"/>
    <w:rsid w:val="0089555E"/>
    <w:rsid w:val="008B602B"/>
    <w:rsid w:val="0094045F"/>
    <w:rsid w:val="009517EF"/>
    <w:rsid w:val="009C361C"/>
    <w:rsid w:val="009D50CF"/>
    <w:rsid w:val="00AA694C"/>
    <w:rsid w:val="00AE2FED"/>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87F4510-C3AF-4C22-BDF5-0BC44836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517EF"/>
  </w:style>
  <w:style w:type="paragraph" w:styleId="Kop1">
    <w:name w:val="heading 1"/>
    <w:basedOn w:val="Standaard"/>
    <w:next w:val="Standaard"/>
    <w:link w:val="Kop1Char"/>
    <w:uiPriority w:val="9"/>
    <w:qFormat/>
    <w:rsid w:val="009517EF"/>
    <w:pPr>
      <w:keepNext/>
      <w:keepLines/>
      <w:spacing w:before="240"/>
      <w:outlineLvl w:val="0"/>
    </w:pPr>
    <w:rPr>
      <w:rFonts w:eastAsiaTheme="majorEastAsia"/>
      <w:sz w:val="32"/>
      <w:szCs w:val="32"/>
    </w:rPr>
  </w:style>
  <w:style w:type="paragraph" w:styleId="Kop2">
    <w:name w:val="heading 2"/>
    <w:basedOn w:val="Standaard"/>
    <w:next w:val="Standaard"/>
    <w:link w:val="Kop2Char"/>
    <w:uiPriority w:val="9"/>
    <w:qFormat/>
    <w:rsid w:val="009517EF"/>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9517EF"/>
    <w:rPr>
      <w:rFonts w:eastAsiaTheme="majorEastAsia"/>
      <w:sz w:val="32"/>
      <w:szCs w:val="32"/>
    </w:rPr>
  </w:style>
  <w:style w:type="character" w:customStyle="1" w:styleId="Kop2Char">
    <w:name w:val="Kop 2 Char"/>
    <w:basedOn w:val="Standaardalinea-lettertype"/>
    <w:link w:val="Kop2"/>
    <w:uiPriority w:val="9"/>
    <w:rsid w:val="009517EF"/>
    <w:rPr>
      <w:rFonts w:ascii="Arial" w:eastAsia="Times New Roman" w:hAnsi="Arial" w:cs="Arial"/>
      <w:b/>
      <w:bCs/>
      <w:i/>
      <w:iCs/>
      <w:sz w:val="28"/>
      <w:szCs w:val="28"/>
      <w:lang w:eastAsia="nl-NL"/>
    </w:rPr>
  </w:style>
  <w:style w:type="character" w:customStyle="1" w:styleId="InterlinieChar">
    <w:name w:val="Interlinie Char"/>
    <w:basedOn w:val="Standaardalinea-lettertype"/>
    <w:link w:val="Interlinie"/>
    <w:rsid w:val="009517EF"/>
  </w:style>
  <w:style w:type="paragraph" w:styleId="Voetnoottekst">
    <w:name w:val="footnote text"/>
    <w:basedOn w:val="Standaard"/>
    <w:link w:val="VoetnoottekstChar"/>
    <w:semiHidden/>
    <w:unhideWhenUsed/>
    <w:rsid w:val="009517EF"/>
    <w:rPr>
      <w:sz w:val="20"/>
      <w:szCs w:val="20"/>
    </w:rPr>
  </w:style>
  <w:style w:type="character" w:customStyle="1" w:styleId="VoetnoottekstChar">
    <w:name w:val="Voetnoottekst Char"/>
    <w:basedOn w:val="Standaardalinea-lettertype"/>
    <w:link w:val="Voetnoottekst"/>
    <w:semiHidden/>
    <w:rsid w:val="009517EF"/>
    <w:rPr>
      <w:sz w:val="20"/>
      <w:szCs w:val="20"/>
    </w:rPr>
  </w:style>
  <w:style w:type="character" w:styleId="Voetnootmarkering">
    <w:name w:val="footnote reference"/>
    <w:basedOn w:val="Standaardalinea-lettertype"/>
    <w:semiHidden/>
    <w:unhideWhenUsed/>
    <w:rsid w:val="009517EF"/>
    <w:rPr>
      <w:vertAlign w:val="superscript"/>
    </w:rPr>
  </w:style>
  <w:style w:type="paragraph" w:styleId="Koptekst">
    <w:name w:val="header"/>
    <w:basedOn w:val="Standaard"/>
    <w:link w:val="KoptekstChar"/>
    <w:uiPriority w:val="99"/>
    <w:unhideWhenUsed/>
    <w:rsid w:val="006C54DB"/>
    <w:pPr>
      <w:tabs>
        <w:tab w:val="center" w:pos="4536"/>
        <w:tab w:val="right" w:pos="9072"/>
      </w:tabs>
    </w:pPr>
  </w:style>
  <w:style w:type="character" w:customStyle="1" w:styleId="KoptekstChar">
    <w:name w:val="Koptekst Char"/>
    <w:basedOn w:val="Standaardalinea-lettertype"/>
    <w:link w:val="Koptekst"/>
    <w:uiPriority w:val="99"/>
    <w:rsid w:val="006C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500A1-F9FE-4D02-A5E0-BF8C7916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2017-10-23T19:11:00Z</dcterms:created>
  <dcterms:modified xsi:type="dcterms:W3CDTF">2017-10-23T19:11:00Z</dcterms:modified>
</cp:coreProperties>
</file>