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12" w:rsidRDefault="00615412" w:rsidP="00615412">
      <w:pPr>
        <w:kinsoku w:val="0"/>
        <w:overflowPunct w:val="0"/>
        <w:textAlignment w:val="baseline"/>
        <w:rPr>
          <w:bCs/>
        </w:rPr>
      </w:pPr>
      <w:bookmarkStart w:id="0" w:name="_Toc189575749"/>
      <w:r w:rsidRPr="007D12F1">
        <w:rPr>
          <w:bCs/>
        </w:rPr>
        <w:t>EXAMEN SCHEIKUNDE VWO 197</w:t>
      </w:r>
      <w:r>
        <w:rPr>
          <w:bCs/>
        </w:rPr>
        <w:t>7, EERSTE</w:t>
      </w:r>
      <w:r w:rsidRPr="007D12F1">
        <w:rPr>
          <w:bCs/>
        </w:rPr>
        <w:t xml:space="preserve"> TIJDVAK</w:t>
      </w:r>
      <w:r>
        <w:rPr>
          <w:bCs/>
        </w:rPr>
        <w:t>, opgaven</w:t>
      </w:r>
    </w:p>
    <w:bookmarkStart w:id="1" w:name="_Toc490827206"/>
    <w:p w:rsidR="00615412" w:rsidRDefault="00615412" w:rsidP="00615412">
      <w:pPr>
        <w:pStyle w:val="Kop2"/>
      </w:pPr>
      <w:r w:rsidRPr="0018005E">
        <w:rPr>
          <w:noProof/>
        </w:rPr>
        <mc:AlternateContent>
          <mc:Choice Requires="wps">
            <w:drawing>
              <wp:anchor distT="0" distB="0" distL="0" distR="0" simplePos="0" relativeHeight="251660288" behindDoc="0" locked="0" layoutInCell="0" allowOverlap="1" wp14:anchorId="35E45593" wp14:editId="13B3CBFC">
                <wp:simplePos x="0" y="0"/>
                <wp:positionH relativeFrom="margin">
                  <wp:align>center</wp:align>
                </wp:positionH>
                <wp:positionV relativeFrom="paragraph">
                  <wp:posOffset>414219</wp:posOffset>
                </wp:positionV>
                <wp:extent cx="6172835" cy="0"/>
                <wp:effectExtent l="0" t="19050" r="56515" b="38100"/>
                <wp:wrapSquare wrapText="bothSides"/>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1BB2D"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6pt" to="486.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xm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" o:allowincell="f" strokecolor="silver" strokeweight="4.8pt">
                <w10:wrap type="square" anchorx="margin"/>
              </v:line>
            </w:pict>
          </mc:Fallback>
        </mc:AlternateContent>
      </w:r>
      <w:r w:rsidRPr="00D62E83">
        <w:t>Myristinezuur</w:t>
      </w:r>
      <w:r>
        <w:tab/>
      </w:r>
      <w:r w:rsidRPr="00D62E83">
        <w:t>1977-I(I)</w:t>
      </w:r>
      <w:bookmarkEnd w:id="0"/>
      <w:bookmarkEnd w:id="1"/>
    </w:p>
    <w:p w:rsidR="00615412" w:rsidRPr="00D62E83" w:rsidRDefault="00615412" w:rsidP="00615412">
      <w:r w:rsidRPr="00D62E83">
        <w:t>Reacties die bij elektrolyse optreden worden vaak gebruikt om stoffen, bijvoorbeeld metalen, te bereiden. Ook de bereiding van een aantal koolstofverbindingen kan via elektrolyse plaatsvinden. Zo ontstaat bij elektrolyse met platina-elektroden van een oplossing van natriumacetaat en ethaanzuur (azijnzuur) in water aan de positieve elektrode een gasmengsel, waarin ethaan en koolstofdioxide in de volumeverhouding 1</w:t>
      </w:r>
      <w:r>
        <w:t> </w:t>
      </w:r>
      <w:r w:rsidRPr="00D62E83">
        <w:t>:</w:t>
      </w:r>
      <w:r>
        <w:t> </w:t>
      </w:r>
      <w:r w:rsidRPr="00D62E83">
        <w:t>2 voorkomen.</w:t>
      </w:r>
    </w:p>
    <w:p w:rsidR="00615412" w:rsidRPr="00615412" w:rsidRDefault="00615412" w:rsidP="00615412">
      <w:pPr>
        <w:pStyle w:val="CSElijst"/>
        <w:numPr>
          <w:ilvl w:val="0"/>
          <w:numId w:val="35"/>
        </w:numPr>
        <w:ind w:left="0" w:hanging="567"/>
        <w:rPr>
          <w:lang w:val="nl-NL"/>
        </w:rPr>
      </w:pPr>
      <w:r w:rsidRPr="00615412">
        <w:rPr>
          <w:lang w:val="nl-NL"/>
        </w:rPr>
        <w:t>Geef in vergelijking(en) weer hoe je je de vorming van ethaan en koolstofdioxide aan de positieve elektrode voorstelt.</w:t>
      </w:r>
    </w:p>
    <w:p w:rsidR="00615412" w:rsidRPr="00D62E83" w:rsidRDefault="00615412" w:rsidP="00615412">
      <w:r w:rsidRPr="00D62E83">
        <w:t>Eén van de stoffen, die via elektrolyse in vrij zuivere toestand bereid kunnen worden, is myristinezuur.</w:t>
      </w:r>
    </w:p>
    <w:p w:rsidR="00615412" w:rsidRPr="00D62E83" w:rsidRDefault="00615412" w:rsidP="00615412">
      <w:r w:rsidRPr="00D62E83">
        <w:t>Myristinezuur, C</w:t>
      </w:r>
      <w:r w:rsidRPr="00D62E83">
        <w:rPr>
          <w:vertAlign w:val="subscript"/>
        </w:rPr>
        <w:t>13</w:t>
      </w:r>
      <w:r w:rsidRPr="00D62E83">
        <w:t>H</w:t>
      </w:r>
      <w:r w:rsidRPr="00D62E83">
        <w:rPr>
          <w:vertAlign w:val="subscript"/>
        </w:rPr>
        <w:t>27</w:t>
      </w:r>
      <w:r w:rsidRPr="00D62E83">
        <w:t xml:space="preserve">COOH, is een witte vaste stof met smeltpunt 57° C. De systematische naam is tetradecaanzuur. Het is slecht oplosbaar in water maar </w:t>
      </w:r>
      <w:r w:rsidRPr="00D62E83">
        <w:rPr>
          <w:iCs/>
        </w:rPr>
        <w:t xml:space="preserve">goed </w:t>
      </w:r>
      <w:r w:rsidRPr="00D62E83">
        <w:t>oplosbaar in methanol en in ethanol.</w:t>
      </w:r>
    </w:p>
    <w:p w:rsidR="00615412" w:rsidRPr="00D62E83" w:rsidRDefault="00615412" w:rsidP="00615412">
      <w:r w:rsidRPr="00D62E83">
        <w:t>In verschillende vetten komen glycerolesters van myristinezuur voor.</w:t>
      </w:r>
    </w:p>
    <w:p w:rsidR="00615412" w:rsidRPr="00D62E83" w:rsidRDefault="00615412" w:rsidP="00615412">
      <w:r w:rsidRPr="00D62E83">
        <w:t>De bereiding van myristinezuur via elektrolyse verloopt als volgt:</w:t>
      </w:r>
    </w:p>
    <w:p w:rsidR="00615412" w:rsidRPr="00D62E83" w:rsidRDefault="00615412" w:rsidP="00615412">
      <w:r w:rsidRPr="00D62E83">
        <w:t xml:space="preserve">Men voegt aan methanol een kleine hoeveelheid natrium (ongeveer </w:t>
      </w:r>
      <w:smartTag w:uri="urn:schemas-microsoft-com:office:smarttags" w:element="metricconverter">
        <w:smartTagPr>
          <w:attr w:name="ProductID" w:val="1 gram"/>
        </w:smartTagPr>
        <w:r w:rsidRPr="00D62E83">
          <w:t>1 gram</w:t>
        </w:r>
      </w:smartTag>
      <w:r w:rsidRPr="00D62E83">
        <w:t xml:space="preserve"> per liter) </w:t>
      </w:r>
      <w:r w:rsidRPr="00D62E83">
        <w:rPr>
          <w:iCs/>
        </w:rPr>
        <w:t xml:space="preserve">toe. </w:t>
      </w:r>
      <w:r w:rsidRPr="00D62E83">
        <w:t xml:space="preserve">Hierbij ontwijkt waterstof en </w:t>
      </w:r>
      <w:r w:rsidRPr="00D62E83">
        <w:rPr>
          <w:iCs/>
        </w:rPr>
        <w:t xml:space="preserve">er </w:t>
      </w:r>
      <w:r w:rsidRPr="00D62E83">
        <w:t>ontstaat een oplossing van natriummethanolaat in methanol:</w:t>
      </w:r>
    </w:p>
    <w:p w:rsidR="00615412" w:rsidRPr="00D62E83" w:rsidRDefault="00615412" w:rsidP="00615412">
      <w:pPr>
        <w:pStyle w:val="Vergelijking"/>
      </w:pPr>
      <w:r w:rsidRPr="00D62E83">
        <w:t>2 CH</w:t>
      </w:r>
      <w:r w:rsidRPr="00D62E83">
        <w:rPr>
          <w:vertAlign w:val="subscript"/>
        </w:rPr>
        <w:t>3</w:t>
      </w:r>
      <w:r w:rsidRPr="00D62E83">
        <w:t xml:space="preserve">OH + 2 Na </w:t>
      </w:r>
      <w:r w:rsidRPr="00D62E83">
        <w:sym w:font="Symbol" w:char="F0AE"/>
      </w:r>
      <w:r w:rsidRPr="00D62E83">
        <w:t xml:space="preserve"> 2CH</w:t>
      </w:r>
      <w:r w:rsidRPr="00D62E83">
        <w:rPr>
          <w:vertAlign w:val="subscript"/>
        </w:rPr>
        <w:t>3</w:t>
      </w:r>
      <w:r w:rsidRPr="00D62E83">
        <w:t>O</w:t>
      </w:r>
      <w:r w:rsidRPr="00D62E83">
        <w:rPr>
          <w:vertAlign w:val="superscript"/>
        </w:rPr>
        <w:sym w:font="Symbol" w:char="F02D"/>
      </w:r>
      <w:r w:rsidRPr="00D62E83">
        <w:t xml:space="preserve"> + 2 Na</w:t>
      </w:r>
      <w:r w:rsidRPr="00D62E83">
        <w:rPr>
          <w:vertAlign w:val="superscript"/>
        </w:rPr>
        <w:t>+</w:t>
      </w:r>
      <w:r w:rsidRPr="00D62E83">
        <w:t xml:space="preserve"> + H</w:t>
      </w:r>
      <w:r w:rsidRPr="00D62E83">
        <w:rPr>
          <w:vertAlign w:val="subscript"/>
        </w:rPr>
        <w:t>2</w:t>
      </w:r>
    </w:p>
    <w:p w:rsidR="00615412" w:rsidRPr="00D62E83" w:rsidRDefault="00615412" w:rsidP="00615412">
      <w:r w:rsidRPr="00D62E83">
        <w:t>In de zo verkregen oplossing lost men bovendien op: decaanzuur, C</w:t>
      </w:r>
      <w:r w:rsidRPr="00D62E83">
        <w:rPr>
          <w:vertAlign w:val="subscript"/>
        </w:rPr>
        <w:t>9</w:t>
      </w:r>
      <w:r w:rsidRPr="00D62E83">
        <w:t>H</w:t>
      </w:r>
      <w:r w:rsidRPr="00D62E83">
        <w:rPr>
          <w:vertAlign w:val="subscript"/>
        </w:rPr>
        <w:t>19</w:t>
      </w:r>
      <w:r w:rsidRPr="00D62E83">
        <w:t>COOH, en de monomethylester van hexaandizuur, HOOC(CH</w:t>
      </w:r>
      <w:r w:rsidRPr="00D62E83">
        <w:rPr>
          <w:vertAlign w:val="subscript"/>
        </w:rPr>
        <w:t>2</w:t>
      </w:r>
      <w:r w:rsidRPr="00D62E83">
        <w:t>)</w:t>
      </w:r>
      <w:r w:rsidRPr="00D62E83">
        <w:rPr>
          <w:vertAlign w:val="subscript"/>
        </w:rPr>
        <w:t>4</w:t>
      </w:r>
      <w:r w:rsidRPr="00D62E83">
        <w:t>COOCH</w:t>
      </w:r>
      <w:r w:rsidRPr="00D62E83">
        <w:rPr>
          <w:vertAlign w:val="subscript"/>
        </w:rPr>
        <w:t>3</w:t>
      </w:r>
      <w:r w:rsidRPr="00D62E83">
        <w:t>. Het methanolaat reageert met kleine hoeveelheden van deze zuren, die in overmaat aanwezig zijn. Deze reacties zijn zuur-basereacties volgens de theorie van Brønsted.</w:t>
      </w:r>
    </w:p>
    <w:p w:rsidR="00615412" w:rsidRPr="00615412" w:rsidRDefault="00615412" w:rsidP="00615412">
      <w:pPr>
        <w:pStyle w:val="CSElijst"/>
        <w:numPr>
          <w:ilvl w:val="0"/>
          <w:numId w:val="7"/>
        </w:numPr>
        <w:ind w:left="0" w:hanging="567"/>
        <w:rPr>
          <w:lang w:val="nl-NL"/>
        </w:rPr>
      </w:pPr>
      <w:r w:rsidRPr="00615412">
        <w:rPr>
          <w:lang w:val="nl-NL"/>
        </w:rPr>
        <w:t>Geef elk van beide zuur-basereacties in een vergelijking weer.</w:t>
      </w:r>
    </w:p>
    <w:p w:rsidR="00615412" w:rsidRPr="00D62E83" w:rsidRDefault="00615412" w:rsidP="00615412">
      <w:r w:rsidRPr="00D62E83">
        <w:t xml:space="preserve">De verkregen oplossing </w:t>
      </w:r>
      <w:r w:rsidRPr="00D62E83">
        <w:rPr>
          <w:iCs/>
        </w:rPr>
        <w:t xml:space="preserve">wordt </w:t>
      </w:r>
      <w:r w:rsidRPr="00D62E83">
        <w:t>met behulp van platina elektroden geëlektrolyseerd. Hierbij ontwijkt aan de positieve elektrode koolstofdioxide en aan de negatieve elektrode waterstof.</w:t>
      </w:r>
    </w:p>
    <w:p w:rsidR="00615412" w:rsidRPr="00D62E83" w:rsidRDefault="00615412" w:rsidP="00615412">
      <w:r w:rsidRPr="00D62E83">
        <w:t xml:space="preserve">Gedurende de elektrolyse brengt men van tijd tot tijd een druppel van het reactie mengsel op een vochtig </w:t>
      </w:r>
      <w:r w:rsidRPr="00D62E83">
        <w:rPr>
          <w:iCs/>
        </w:rPr>
        <w:t xml:space="preserve">rood </w:t>
      </w:r>
      <w:r w:rsidRPr="00D62E83">
        <w:t>lakmoespapiertje. Zodra een druppel van het mengsel het papiertje blauw kleurt, wordt de elektrolyse beëindigd.</w:t>
      </w:r>
    </w:p>
    <w:p w:rsidR="00615412" w:rsidRPr="00615412" w:rsidRDefault="00615412" w:rsidP="00615412">
      <w:pPr>
        <w:pStyle w:val="CSElijst"/>
        <w:numPr>
          <w:ilvl w:val="0"/>
          <w:numId w:val="7"/>
        </w:numPr>
        <w:ind w:left="0" w:hanging="567"/>
        <w:rPr>
          <w:lang w:val="nl-NL"/>
        </w:rPr>
      </w:pPr>
      <w:r w:rsidRPr="00615412">
        <w:rPr>
          <w:lang w:val="nl-NL"/>
        </w:rPr>
        <w:t>Hoe kun je de waterstofontwikkeling aan de negatieve elektrode verklaren?</w:t>
      </w:r>
    </w:p>
    <w:p w:rsidR="00615412" w:rsidRPr="00D62E83" w:rsidRDefault="00615412" w:rsidP="00615412">
      <w:r w:rsidRPr="00D62E83">
        <w:t xml:space="preserve">De methanol </w:t>
      </w:r>
      <w:r w:rsidRPr="00D62E83">
        <w:rPr>
          <w:iCs/>
        </w:rPr>
        <w:t xml:space="preserve">wordt door </w:t>
      </w:r>
      <w:r w:rsidRPr="00D62E83">
        <w:t xml:space="preserve">destillatie uit het reactiemengsel verwijderd. In de destillatiekolf blijft een residu achter, dat bij analyse hoofdzakelijk uit </w:t>
      </w:r>
      <w:r w:rsidRPr="00D62E83">
        <w:rPr>
          <w:iCs/>
        </w:rPr>
        <w:t xml:space="preserve">drie </w:t>
      </w:r>
      <w:r w:rsidRPr="00D62E83">
        <w:t xml:space="preserve">stoffen blijkt te bestaan. Eén van deze drie stoffen is de methylester van myristinezuur. </w:t>
      </w:r>
      <w:r w:rsidRPr="00D62E83">
        <w:rPr>
          <w:iCs/>
        </w:rPr>
        <w:t xml:space="preserve">Door </w:t>
      </w:r>
      <w:r w:rsidRPr="00D62E83">
        <w:t>hydrolyse van deze ester kan myristinezuur worden verkregen.</w:t>
      </w:r>
    </w:p>
    <w:p w:rsidR="00615412" w:rsidRPr="00615412" w:rsidRDefault="00615412" w:rsidP="00615412">
      <w:pPr>
        <w:pStyle w:val="CSElijst"/>
        <w:numPr>
          <w:ilvl w:val="0"/>
          <w:numId w:val="7"/>
        </w:numPr>
        <w:ind w:left="0" w:hanging="567"/>
        <w:rPr>
          <w:lang w:val="nl-NL"/>
        </w:rPr>
      </w:pPr>
      <w:r w:rsidRPr="00615412">
        <w:rPr>
          <w:lang w:val="nl-NL"/>
        </w:rPr>
        <w:t>Geef in vergelijking(en) weer, hoe je je de vorming van koolstofdioxide en de methylester van myristinezuur aan de positieve elektrode voorstelt.</w:t>
      </w:r>
    </w:p>
    <w:p w:rsidR="00615412" w:rsidRPr="00615412" w:rsidRDefault="00615412" w:rsidP="00615412">
      <w:pPr>
        <w:pStyle w:val="CSElijst"/>
        <w:numPr>
          <w:ilvl w:val="0"/>
          <w:numId w:val="7"/>
        </w:numPr>
        <w:ind w:left="0" w:hanging="567"/>
        <w:rPr>
          <w:lang w:val="nl-NL"/>
        </w:rPr>
      </w:pPr>
      <w:r w:rsidRPr="00615412">
        <w:rPr>
          <w:lang w:val="nl-NL"/>
        </w:rPr>
        <w:t>Welke zijn de twee andere hoofdbestanddelen van het residu, die ook aan de positieve elektrode zijn gevormd?</w:t>
      </w:r>
    </w:p>
    <w:p w:rsidR="00615412" w:rsidRPr="00615412" w:rsidRDefault="00615412" w:rsidP="00615412">
      <w:pPr>
        <w:pStyle w:val="CSElijst"/>
        <w:numPr>
          <w:ilvl w:val="0"/>
          <w:numId w:val="7"/>
        </w:numPr>
        <w:ind w:left="0" w:hanging="567"/>
        <w:rPr>
          <w:lang w:val="nl-NL"/>
        </w:rPr>
      </w:pPr>
      <w:r w:rsidRPr="00615412">
        <w:rPr>
          <w:lang w:val="nl-NL"/>
        </w:rPr>
        <w:t xml:space="preserve">Geef nu in overeenstemming met je eerder gegeven antwoorden een verklaring </w:t>
      </w:r>
      <w:r w:rsidRPr="00615412">
        <w:rPr>
          <w:iCs/>
          <w:lang w:val="nl-NL"/>
        </w:rPr>
        <w:t xml:space="preserve">voor </w:t>
      </w:r>
      <w:r w:rsidRPr="00615412">
        <w:rPr>
          <w:lang w:val="nl-NL"/>
        </w:rPr>
        <w:t xml:space="preserve">het feit dat het reactie mengsel een vochtig </w:t>
      </w:r>
      <w:r w:rsidRPr="00615412">
        <w:rPr>
          <w:iCs/>
          <w:lang w:val="nl-NL"/>
        </w:rPr>
        <w:t xml:space="preserve">rood </w:t>
      </w:r>
      <w:r w:rsidRPr="00615412">
        <w:rPr>
          <w:lang w:val="nl-NL"/>
        </w:rPr>
        <w:t>lakmoespapiertje eerst niet en later wèl blauw kleurt.</w:t>
      </w:r>
    </w:p>
    <w:bookmarkStart w:id="2" w:name="_Toc189575750"/>
    <w:bookmarkStart w:id="3" w:name="_Toc490827207"/>
    <w:p w:rsidR="00615412" w:rsidRDefault="00615412" w:rsidP="00615412">
      <w:pPr>
        <w:pStyle w:val="Kop2"/>
      </w:pPr>
      <w:r w:rsidRPr="0018005E">
        <w:rPr>
          <w:noProof/>
        </w:rPr>
        <mc:AlternateContent>
          <mc:Choice Requires="wps">
            <w:drawing>
              <wp:anchor distT="0" distB="0" distL="0" distR="0" simplePos="0" relativeHeight="251661312" behindDoc="0" locked="0" layoutInCell="0" allowOverlap="1" wp14:anchorId="73A54561" wp14:editId="26639B57">
                <wp:simplePos x="0" y="0"/>
                <wp:positionH relativeFrom="margin">
                  <wp:align>center</wp:align>
                </wp:positionH>
                <wp:positionV relativeFrom="paragraph">
                  <wp:posOffset>332465</wp:posOffset>
                </wp:positionV>
                <wp:extent cx="6172835" cy="0"/>
                <wp:effectExtent l="0" t="19050" r="56515" b="38100"/>
                <wp:wrapSquare wrapText="bothSides"/>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B829B"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2pt" to="486.0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Kf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" o:allowincell="f" strokecolor="silver" strokeweight="4.8pt">
                <w10:wrap type="square" anchorx="margin"/>
              </v:line>
            </w:pict>
          </mc:Fallback>
        </mc:AlternateContent>
      </w:r>
      <w:r w:rsidRPr="00D62E83">
        <w:t>Aldehyd</w:t>
      </w:r>
      <w:r>
        <w:t>e</w:t>
      </w:r>
      <w:r w:rsidRPr="00D62E83">
        <w:t xml:space="preserve"> met sulfiet</w:t>
      </w:r>
      <w:r>
        <w:tab/>
      </w:r>
      <w:r w:rsidRPr="00D62E83">
        <w:t>1977-I(II)</w:t>
      </w:r>
      <w:bookmarkEnd w:id="2"/>
      <w:bookmarkEnd w:id="3"/>
    </w:p>
    <w:p w:rsidR="00615412" w:rsidRPr="00D62E83" w:rsidRDefault="00615412" w:rsidP="00615412">
      <w:r w:rsidRPr="00D62E83">
        <w:t>Aldehyden zijn stoffen waaraan de algemene formule R</w:t>
      </w:r>
      <w:r w:rsidRPr="00D62E83">
        <w:sym w:font="Symbol" w:char="F02D"/>
      </w:r>
      <w:r w:rsidRPr="00D62E83">
        <w:t>CHO wordt toegekend. Een eigenschap van de meeste aldehyden is dat ze met een geconcentreerde oplossing van natriumwaterstofsulfiet, NaHSO</w:t>
      </w:r>
      <w:r w:rsidRPr="00D62E83">
        <w:rPr>
          <w:vertAlign w:val="subscript"/>
        </w:rPr>
        <w:t>3</w:t>
      </w:r>
      <w:r w:rsidRPr="00D62E83">
        <w:t>, neerslagen vormen.</w:t>
      </w:r>
    </w:p>
    <w:p w:rsidR="00615412" w:rsidRDefault="00615412" w:rsidP="00615412">
      <w:r>
        <w:br w:type="page"/>
      </w:r>
    </w:p>
    <w:p w:rsidR="00615412" w:rsidRPr="00D62E83" w:rsidRDefault="00615412" w:rsidP="00615412">
      <w:r w:rsidRPr="00D62E83">
        <w:lastRenderedPageBreak/>
        <w:t>Deze reactie kan als volgt in een vergelijking worden weergegeven:</w:t>
      </w:r>
    </w:p>
    <w:p w:rsidR="00615412" w:rsidRPr="00FF162B" w:rsidRDefault="00615412" w:rsidP="00615412">
      <w:pPr>
        <w:pStyle w:val="Vergelijking"/>
        <w:rPr>
          <w:lang w:val="en-US"/>
        </w:rPr>
      </w:pPr>
      <w:r w:rsidRPr="00FF162B">
        <w:rPr>
          <w:lang w:val="en-US"/>
        </w:rPr>
        <w:t>R</w:t>
      </w:r>
      <w:r w:rsidRPr="00D62E83">
        <w:sym w:font="Symbol" w:char="F02D"/>
      </w:r>
      <w:r w:rsidRPr="00FF162B">
        <w:rPr>
          <w:lang w:val="en-US"/>
        </w:rPr>
        <w:t>CHO(aq) + Na</w:t>
      </w:r>
      <w:r w:rsidRPr="00FF162B">
        <w:rPr>
          <w:vertAlign w:val="superscript"/>
          <w:lang w:val="en-US"/>
        </w:rPr>
        <w:t>+</w:t>
      </w:r>
      <w:r w:rsidRPr="00FF162B">
        <w:rPr>
          <w:lang w:val="en-US"/>
        </w:rPr>
        <w:t>(aq) + HSO</w:t>
      </w:r>
      <w:r w:rsidRPr="00FF162B">
        <w:rPr>
          <w:vertAlign w:val="subscript"/>
          <w:lang w:val="en-US"/>
        </w:rPr>
        <w:t>3</w:t>
      </w:r>
      <w:r w:rsidRPr="00D62E83">
        <w:rPr>
          <w:vertAlign w:val="superscript"/>
        </w:rPr>
        <w:sym w:font="Symbol" w:char="F02D"/>
      </w:r>
      <w:r w:rsidRPr="00FF162B">
        <w:rPr>
          <w:lang w:val="en-US"/>
        </w:rPr>
        <w:t xml:space="preserve">(aq) </w:t>
      </w:r>
      <w:r w:rsidRPr="00D62E83">
        <w:sym w:font="Symbol" w:char="F0AE"/>
      </w:r>
      <w:r w:rsidRPr="00FF162B">
        <w:rPr>
          <w:lang w:val="en-US"/>
        </w:rPr>
        <w:t xml:space="preserve"> R</w:t>
      </w:r>
      <w:r w:rsidRPr="00D62E83">
        <w:sym w:font="Symbol" w:char="F02D"/>
      </w:r>
      <w:r w:rsidRPr="00FF162B">
        <w:rPr>
          <w:lang w:val="en-US"/>
        </w:rPr>
        <w:t>CH(OH)SO</w:t>
      </w:r>
      <w:r w:rsidRPr="00FF162B">
        <w:rPr>
          <w:vertAlign w:val="subscript"/>
          <w:lang w:val="en-US"/>
        </w:rPr>
        <w:t>3</w:t>
      </w:r>
      <w:r w:rsidRPr="00FF162B">
        <w:rPr>
          <w:lang w:val="en-US"/>
        </w:rPr>
        <w:t>Na(s)</w:t>
      </w:r>
    </w:p>
    <w:p w:rsidR="00615412" w:rsidRPr="00D62E83" w:rsidRDefault="00615412" w:rsidP="00615412">
      <w:r w:rsidRPr="00D62E83">
        <w:t>(aq) = opgelost in water, (s) = in vaste toestand.</w:t>
      </w:r>
    </w:p>
    <w:p w:rsidR="00615412" w:rsidRPr="00D62E83" w:rsidRDefault="00615412" w:rsidP="00615412">
      <w:pPr>
        <w:pStyle w:val="Interlinie"/>
      </w:pPr>
      <w:r w:rsidRPr="00D62E83">
        <w:t xml:space="preserve">De vorming van een dergelijke slecht oplosbare verbinding wordt soms gebruikt om de aanwezigheid van </w:t>
      </w:r>
      <w:r>
        <w:t>aldehyde</w:t>
      </w:r>
      <w:r w:rsidRPr="00D62E83">
        <w:t xml:space="preserve"> aan te tonen.</w:t>
      </w:r>
    </w:p>
    <w:p w:rsidR="00615412" w:rsidRPr="00D62E83" w:rsidRDefault="00615412" w:rsidP="00615412">
      <w:r w:rsidRPr="00D62E83">
        <w:t>De reactie kan ook gebruikt worden om de hoeveelheid van een aldehyde in een oplossing te bepalen. Zo kan de hoeveelheid ethanal in een oplossing worden bepaald volgens een op bovenbeschreven reactie gebaseerde methode, die door S. Siggia in 1949 werd gepubliceerd. Bij deze methode wordt bovendien gebruik gemaakt van het feit dat HSO</w:t>
      </w:r>
      <w:r w:rsidRPr="00D62E83">
        <w:rPr>
          <w:vertAlign w:val="subscript"/>
        </w:rPr>
        <w:t>4</w:t>
      </w:r>
      <w:r w:rsidRPr="00D62E83">
        <w:rPr>
          <w:vertAlign w:val="superscript"/>
        </w:rPr>
        <w:sym w:font="Symbol" w:char="F02D"/>
      </w:r>
      <w:r w:rsidRPr="00D62E83">
        <w:t xml:space="preserve"> een zwak zuur is </w:t>
      </w:r>
      <w:r w:rsidRPr="00D62E83">
        <w:rPr>
          <w:iCs/>
        </w:rPr>
        <w:t>(</w:t>
      </w:r>
      <w:r w:rsidRPr="00D62E83">
        <w:rPr>
          <w:i/>
          <w:iCs/>
        </w:rPr>
        <w:t>K</w:t>
      </w:r>
      <w:r w:rsidRPr="00D62E83">
        <w:rPr>
          <w:iCs/>
          <w:vertAlign w:val="subscript"/>
        </w:rPr>
        <w:t>z</w:t>
      </w:r>
      <w:r w:rsidRPr="00D62E83">
        <w:rPr>
          <w:iCs/>
        </w:rPr>
        <w:t xml:space="preserve"> </w:t>
      </w:r>
      <w:r w:rsidRPr="00D62E83">
        <w:t>= 1,0</w:t>
      </w:r>
      <w:r w:rsidRPr="00D62E83">
        <w:sym w:font="Symbol" w:char="F0D7"/>
      </w:r>
      <w:r w:rsidRPr="00D62E83">
        <w:t>10</w:t>
      </w:r>
      <w:r w:rsidRPr="00D62E83">
        <w:rPr>
          <w:vertAlign w:val="superscript"/>
        </w:rPr>
        <w:sym w:font="Symbol" w:char="F02D"/>
      </w:r>
      <w:r w:rsidRPr="00D62E83">
        <w:rPr>
          <w:vertAlign w:val="superscript"/>
        </w:rPr>
        <w:t>7</w:t>
      </w:r>
      <w:r w:rsidRPr="00D62E83">
        <w:t>).</w:t>
      </w:r>
    </w:p>
    <w:p w:rsidR="00615412" w:rsidRPr="00D62E83" w:rsidRDefault="00615412" w:rsidP="00615412">
      <w:r w:rsidRPr="00D62E83">
        <w:t>Een deel van het verslag van een bepaling volgens deze methode wordt hier gegeven:</w:t>
      </w:r>
    </w:p>
    <w:p w:rsidR="00615412" w:rsidRPr="00D62E83" w:rsidRDefault="00615412" w:rsidP="00615412">
      <w:r w:rsidRPr="00D62E83">
        <w:t xml:space="preserve">Er werd een natriumsulfietoplossing bereid door </w:t>
      </w:r>
      <w:smartTag w:uri="urn:schemas-microsoft-com:office:smarttags" w:element="metricconverter">
        <w:smartTagPr>
          <w:attr w:name="ProductID" w:val="31,5 gram"/>
        </w:smartTagPr>
        <w:r w:rsidRPr="00D62E83">
          <w:t>31,5 gram</w:t>
        </w:r>
      </w:smartTag>
      <w:r w:rsidRPr="00D62E83">
        <w:t xml:space="preserve"> natriumsulfiet, Na</w:t>
      </w:r>
      <w:r w:rsidRPr="00D62E83">
        <w:rPr>
          <w:vertAlign w:val="subscript"/>
        </w:rPr>
        <w:t>2</w:t>
      </w:r>
      <w:r w:rsidRPr="00D62E83">
        <w:t>SO</w:t>
      </w:r>
      <w:r w:rsidRPr="00D62E83">
        <w:rPr>
          <w:vertAlign w:val="subscript"/>
        </w:rPr>
        <w:t>3</w:t>
      </w:r>
      <w:r w:rsidRPr="00D62E83">
        <w:t>, op te lossen in 250 mL water, in een erlenmeyer van 500 mL. Aan deze oplossing werd onder voortdurend roeren 50,0</w:t>
      </w:r>
      <w:r>
        <w:t> </w:t>
      </w:r>
      <w:r w:rsidRPr="00D62E83">
        <w:t>mL</w:t>
      </w:r>
      <w:r>
        <w:t xml:space="preserve"> </w:t>
      </w:r>
      <w:r w:rsidRPr="00D62E83">
        <w:t>0,500 molair</w:t>
      </w:r>
      <w:r w:rsidRPr="00D62E83">
        <w:rPr>
          <w:rStyle w:val="Voetnootmarkering"/>
        </w:rPr>
        <w:footnoteReference w:id="1"/>
      </w:r>
      <w:r w:rsidRPr="00D62E83">
        <w:t xml:space="preserve"> zwavelzuur toegevoegd. Onmiddellijk hierna werd 10,00 mL van de te onderzoeken ethanaloplossing toegevoegd en werd de erlenmeyer afgesloten en gedurende vijf minuten geschud. Vervolgens werd getitreerd met 1,000 molair natronloog. Na elke toevoeging van natronloog werd de pH van de oplossing gemeten met behulp van een pH-meter. De resultaten van deze metingen zijn hieronder vermeld.</w:t>
      </w:r>
    </w:p>
    <w:tbl>
      <w:tblPr>
        <w:tblW w:w="0" w:type="auto"/>
        <w:tblLook w:val="01E0" w:firstRow="1" w:lastRow="1" w:firstColumn="1" w:lastColumn="1" w:noHBand="0" w:noVBand="0"/>
      </w:tblPr>
      <w:tblGrid>
        <w:gridCol w:w="2801"/>
        <w:gridCol w:w="601"/>
        <w:gridCol w:w="2801"/>
        <w:gridCol w:w="711"/>
      </w:tblGrid>
      <w:tr w:rsidR="00615412" w:rsidRPr="00D62E83" w:rsidTr="00F52AE9">
        <w:tc>
          <w:tcPr>
            <w:tcW w:w="0" w:type="auto"/>
            <w:tcBorders>
              <w:bottom w:val="single" w:sz="4" w:space="0" w:color="auto"/>
              <w:right w:val="single" w:sz="4" w:space="0" w:color="auto"/>
            </w:tcBorders>
          </w:tcPr>
          <w:p w:rsidR="00615412" w:rsidRPr="00D62E83" w:rsidRDefault="00615412" w:rsidP="00F52AE9">
            <w:r w:rsidRPr="00D62E83">
              <w:t>Totaal toegevoegd loog (mL)</w:t>
            </w:r>
          </w:p>
        </w:tc>
        <w:tc>
          <w:tcPr>
            <w:tcW w:w="0" w:type="auto"/>
            <w:tcBorders>
              <w:left w:val="single" w:sz="4" w:space="0" w:color="auto"/>
              <w:bottom w:val="single" w:sz="4" w:space="0" w:color="auto"/>
              <w:right w:val="single" w:sz="4" w:space="0" w:color="auto"/>
            </w:tcBorders>
          </w:tcPr>
          <w:p w:rsidR="00615412" w:rsidRPr="00D62E83" w:rsidRDefault="00615412" w:rsidP="00F52AE9">
            <w:r w:rsidRPr="00D62E83">
              <w:t>pH</w:t>
            </w:r>
          </w:p>
        </w:tc>
        <w:tc>
          <w:tcPr>
            <w:tcW w:w="0" w:type="auto"/>
            <w:tcBorders>
              <w:left w:val="single" w:sz="4" w:space="0" w:color="auto"/>
              <w:bottom w:val="single" w:sz="4" w:space="0" w:color="auto"/>
              <w:right w:val="single" w:sz="4" w:space="0" w:color="auto"/>
            </w:tcBorders>
          </w:tcPr>
          <w:p w:rsidR="00615412" w:rsidRPr="00D62E83" w:rsidRDefault="00615412" w:rsidP="00F52AE9">
            <w:r w:rsidRPr="00D62E83">
              <w:t>Totaal toegevoegd loog (mL)</w:t>
            </w:r>
          </w:p>
        </w:tc>
        <w:tc>
          <w:tcPr>
            <w:tcW w:w="0" w:type="auto"/>
            <w:tcBorders>
              <w:left w:val="single" w:sz="4" w:space="0" w:color="auto"/>
              <w:bottom w:val="single" w:sz="4" w:space="0" w:color="auto"/>
            </w:tcBorders>
          </w:tcPr>
          <w:p w:rsidR="00615412" w:rsidRPr="00D62E83" w:rsidRDefault="00615412" w:rsidP="00F52AE9">
            <w:r w:rsidRPr="00D62E83">
              <w:t>pH</w:t>
            </w:r>
          </w:p>
        </w:tc>
      </w:tr>
      <w:tr w:rsidR="00615412" w:rsidRPr="00D62E83" w:rsidTr="00F52AE9">
        <w:tc>
          <w:tcPr>
            <w:tcW w:w="0" w:type="auto"/>
            <w:tcBorders>
              <w:top w:val="single" w:sz="4" w:space="0" w:color="auto"/>
              <w:right w:val="single" w:sz="4" w:space="0" w:color="auto"/>
            </w:tcBorders>
          </w:tcPr>
          <w:p w:rsidR="00615412" w:rsidRPr="00D62E83" w:rsidRDefault="00615412" w:rsidP="00F52AE9">
            <w:r w:rsidRPr="00D62E83">
              <w:t>0,0</w:t>
            </w:r>
          </w:p>
        </w:tc>
        <w:tc>
          <w:tcPr>
            <w:tcW w:w="0" w:type="auto"/>
            <w:tcBorders>
              <w:top w:val="single" w:sz="4" w:space="0" w:color="auto"/>
              <w:left w:val="single" w:sz="4" w:space="0" w:color="auto"/>
              <w:right w:val="single" w:sz="4" w:space="0" w:color="auto"/>
            </w:tcBorders>
          </w:tcPr>
          <w:p w:rsidR="00615412" w:rsidRPr="00D62E83" w:rsidRDefault="00615412" w:rsidP="00F52AE9">
            <w:r w:rsidRPr="00D62E83">
              <w:t>7,66</w:t>
            </w:r>
          </w:p>
        </w:tc>
        <w:tc>
          <w:tcPr>
            <w:tcW w:w="0" w:type="auto"/>
            <w:tcBorders>
              <w:top w:val="single" w:sz="4" w:space="0" w:color="auto"/>
              <w:left w:val="single" w:sz="4" w:space="0" w:color="auto"/>
              <w:right w:val="single" w:sz="4" w:space="0" w:color="auto"/>
            </w:tcBorders>
          </w:tcPr>
          <w:p w:rsidR="00615412" w:rsidRPr="00D62E83" w:rsidRDefault="00615412" w:rsidP="00F52AE9">
            <w:r w:rsidRPr="00D62E83">
              <w:t>27,0</w:t>
            </w:r>
          </w:p>
        </w:tc>
        <w:tc>
          <w:tcPr>
            <w:tcW w:w="0" w:type="auto"/>
            <w:tcBorders>
              <w:top w:val="single" w:sz="4" w:space="0" w:color="auto"/>
              <w:left w:val="single" w:sz="4" w:space="0" w:color="auto"/>
            </w:tcBorders>
          </w:tcPr>
          <w:p w:rsidR="00615412" w:rsidRPr="00D62E83" w:rsidRDefault="00615412" w:rsidP="00F52AE9">
            <w:r w:rsidRPr="00D62E83">
              <w:t>9,02</w:t>
            </w:r>
          </w:p>
        </w:tc>
      </w:tr>
      <w:tr w:rsidR="00615412" w:rsidRPr="00D62E83" w:rsidTr="00F52AE9">
        <w:tc>
          <w:tcPr>
            <w:tcW w:w="0" w:type="auto"/>
            <w:tcBorders>
              <w:right w:val="single" w:sz="4" w:space="0" w:color="auto"/>
            </w:tcBorders>
          </w:tcPr>
          <w:p w:rsidR="00615412" w:rsidRPr="00D62E83" w:rsidRDefault="00615412" w:rsidP="00F52AE9">
            <w:r w:rsidRPr="00D62E83">
              <w:t>10,0</w:t>
            </w:r>
          </w:p>
        </w:tc>
        <w:tc>
          <w:tcPr>
            <w:tcW w:w="0" w:type="auto"/>
            <w:tcBorders>
              <w:left w:val="single" w:sz="4" w:space="0" w:color="auto"/>
              <w:right w:val="single" w:sz="4" w:space="0" w:color="auto"/>
            </w:tcBorders>
          </w:tcPr>
          <w:p w:rsidR="00615412" w:rsidRPr="00D62E83" w:rsidRDefault="00615412" w:rsidP="00F52AE9">
            <w:r w:rsidRPr="00D62E83">
              <w:t>7,71</w:t>
            </w:r>
          </w:p>
        </w:tc>
        <w:tc>
          <w:tcPr>
            <w:tcW w:w="0" w:type="auto"/>
            <w:tcBorders>
              <w:left w:val="single" w:sz="4" w:space="0" w:color="auto"/>
              <w:right w:val="single" w:sz="4" w:space="0" w:color="auto"/>
            </w:tcBorders>
          </w:tcPr>
          <w:p w:rsidR="00615412" w:rsidRPr="00D62E83" w:rsidRDefault="00615412" w:rsidP="00F52AE9">
            <w:r w:rsidRPr="00D62E83">
              <w:t>28,0</w:t>
            </w:r>
          </w:p>
        </w:tc>
        <w:tc>
          <w:tcPr>
            <w:tcW w:w="0" w:type="auto"/>
            <w:tcBorders>
              <w:left w:val="single" w:sz="4" w:space="0" w:color="auto"/>
            </w:tcBorders>
          </w:tcPr>
          <w:p w:rsidR="00615412" w:rsidRPr="00D62E83" w:rsidRDefault="00615412" w:rsidP="00F52AE9">
            <w:r w:rsidRPr="00D62E83">
              <w:t>9,59</w:t>
            </w:r>
          </w:p>
        </w:tc>
      </w:tr>
      <w:tr w:rsidR="00615412" w:rsidRPr="00D62E83" w:rsidTr="00F52AE9">
        <w:tc>
          <w:tcPr>
            <w:tcW w:w="0" w:type="auto"/>
            <w:tcBorders>
              <w:right w:val="single" w:sz="4" w:space="0" w:color="auto"/>
            </w:tcBorders>
          </w:tcPr>
          <w:p w:rsidR="00615412" w:rsidRPr="00D62E83" w:rsidRDefault="00615412" w:rsidP="00F52AE9">
            <w:r w:rsidRPr="00D62E83">
              <w:t>20,0</w:t>
            </w:r>
          </w:p>
        </w:tc>
        <w:tc>
          <w:tcPr>
            <w:tcW w:w="0" w:type="auto"/>
            <w:tcBorders>
              <w:left w:val="single" w:sz="4" w:space="0" w:color="auto"/>
              <w:right w:val="single" w:sz="4" w:space="0" w:color="auto"/>
            </w:tcBorders>
          </w:tcPr>
          <w:p w:rsidR="00615412" w:rsidRPr="00D62E83" w:rsidRDefault="00615412" w:rsidP="00F52AE9">
            <w:r w:rsidRPr="00D62E83">
              <w:t>7,98</w:t>
            </w:r>
          </w:p>
        </w:tc>
        <w:tc>
          <w:tcPr>
            <w:tcW w:w="0" w:type="auto"/>
            <w:tcBorders>
              <w:left w:val="single" w:sz="4" w:space="0" w:color="auto"/>
              <w:right w:val="single" w:sz="4" w:space="0" w:color="auto"/>
            </w:tcBorders>
          </w:tcPr>
          <w:p w:rsidR="00615412" w:rsidRPr="00D62E83" w:rsidRDefault="00615412" w:rsidP="00F52AE9">
            <w:r w:rsidRPr="00D62E83">
              <w:t>29,0</w:t>
            </w:r>
          </w:p>
        </w:tc>
        <w:tc>
          <w:tcPr>
            <w:tcW w:w="0" w:type="auto"/>
            <w:tcBorders>
              <w:left w:val="single" w:sz="4" w:space="0" w:color="auto"/>
            </w:tcBorders>
          </w:tcPr>
          <w:p w:rsidR="00615412" w:rsidRPr="00D62E83" w:rsidRDefault="00615412" w:rsidP="00F52AE9">
            <w:r w:rsidRPr="00D62E83">
              <w:t>10,05</w:t>
            </w:r>
          </w:p>
        </w:tc>
      </w:tr>
      <w:tr w:rsidR="00615412" w:rsidRPr="00D62E83" w:rsidTr="00F52AE9">
        <w:tc>
          <w:tcPr>
            <w:tcW w:w="0" w:type="auto"/>
            <w:tcBorders>
              <w:right w:val="single" w:sz="4" w:space="0" w:color="auto"/>
            </w:tcBorders>
          </w:tcPr>
          <w:p w:rsidR="00615412" w:rsidRPr="00D62E83" w:rsidRDefault="00615412" w:rsidP="00F52AE9">
            <w:r w:rsidRPr="00D62E83">
              <w:t>25,0</w:t>
            </w:r>
          </w:p>
        </w:tc>
        <w:tc>
          <w:tcPr>
            <w:tcW w:w="0" w:type="auto"/>
            <w:tcBorders>
              <w:left w:val="single" w:sz="4" w:space="0" w:color="auto"/>
              <w:right w:val="single" w:sz="4" w:space="0" w:color="auto"/>
            </w:tcBorders>
          </w:tcPr>
          <w:p w:rsidR="00615412" w:rsidRPr="00D62E83" w:rsidRDefault="00615412" w:rsidP="00F52AE9">
            <w:r w:rsidRPr="00D62E83">
              <w:t>8,50</w:t>
            </w:r>
          </w:p>
        </w:tc>
        <w:tc>
          <w:tcPr>
            <w:tcW w:w="0" w:type="auto"/>
            <w:tcBorders>
              <w:left w:val="single" w:sz="4" w:space="0" w:color="auto"/>
              <w:right w:val="single" w:sz="4" w:space="0" w:color="auto"/>
            </w:tcBorders>
          </w:tcPr>
          <w:p w:rsidR="00615412" w:rsidRPr="00D62E83" w:rsidRDefault="00615412" w:rsidP="00F52AE9">
            <w:r w:rsidRPr="00D62E83">
              <w:t>30,0</w:t>
            </w:r>
          </w:p>
        </w:tc>
        <w:tc>
          <w:tcPr>
            <w:tcW w:w="0" w:type="auto"/>
            <w:tcBorders>
              <w:left w:val="single" w:sz="4" w:space="0" w:color="auto"/>
            </w:tcBorders>
          </w:tcPr>
          <w:p w:rsidR="00615412" w:rsidRPr="00D62E83" w:rsidRDefault="00615412" w:rsidP="00F52AE9">
            <w:r w:rsidRPr="00D62E83">
              <w:t>10,34</w:t>
            </w:r>
          </w:p>
        </w:tc>
      </w:tr>
      <w:tr w:rsidR="00615412" w:rsidRPr="00D62E83" w:rsidTr="00F52AE9">
        <w:tc>
          <w:tcPr>
            <w:tcW w:w="0" w:type="auto"/>
            <w:tcBorders>
              <w:right w:val="single" w:sz="4" w:space="0" w:color="auto"/>
            </w:tcBorders>
          </w:tcPr>
          <w:p w:rsidR="00615412" w:rsidRPr="00D62E83" w:rsidRDefault="00615412" w:rsidP="00F52AE9">
            <w:r w:rsidRPr="00D62E83">
              <w:t>26,0</w:t>
            </w:r>
          </w:p>
        </w:tc>
        <w:tc>
          <w:tcPr>
            <w:tcW w:w="0" w:type="auto"/>
            <w:tcBorders>
              <w:left w:val="single" w:sz="4" w:space="0" w:color="auto"/>
              <w:right w:val="single" w:sz="4" w:space="0" w:color="auto"/>
            </w:tcBorders>
          </w:tcPr>
          <w:p w:rsidR="00615412" w:rsidRPr="00D62E83" w:rsidRDefault="00615412" w:rsidP="00F52AE9">
            <w:r w:rsidRPr="00D62E83">
              <w:t>8,69</w:t>
            </w:r>
          </w:p>
        </w:tc>
        <w:tc>
          <w:tcPr>
            <w:tcW w:w="0" w:type="auto"/>
            <w:tcBorders>
              <w:left w:val="single" w:sz="4" w:space="0" w:color="auto"/>
              <w:right w:val="single" w:sz="4" w:space="0" w:color="auto"/>
            </w:tcBorders>
          </w:tcPr>
          <w:p w:rsidR="00615412" w:rsidRPr="00D62E83" w:rsidRDefault="00615412" w:rsidP="00F52AE9">
            <w:r w:rsidRPr="00D62E83">
              <w:t>35,0</w:t>
            </w:r>
          </w:p>
        </w:tc>
        <w:tc>
          <w:tcPr>
            <w:tcW w:w="0" w:type="auto"/>
            <w:tcBorders>
              <w:left w:val="single" w:sz="4" w:space="0" w:color="auto"/>
            </w:tcBorders>
          </w:tcPr>
          <w:p w:rsidR="00615412" w:rsidRPr="00D62E83" w:rsidRDefault="00615412" w:rsidP="00F52AE9">
            <w:r w:rsidRPr="00D62E83">
              <w:t>10,86</w:t>
            </w:r>
          </w:p>
        </w:tc>
      </w:tr>
    </w:tbl>
    <w:p w:rsidR="00615412" w:rsidRPr="00615412" w:rsidRDefault="00615412" w:rsidP="00615412">
      <w:pPr>
        <w:pStyle w:val="CSElijst"/>
        <w:numPr>
          <w:ilvl w:val="0"/>
          <w:numId w:val="7"/>
        </w:numPr>
        <w:ind w:left="0" w:hanging="567"/>
        <w:rPr>
          <w:lang w:val="nl-NL"/>
        </w:rPr>
      </w:pPr>
      <w:r w:rsidRPr="00615412">
        <w:rPr>
          <w:lang w:val="nl-NL"/>
        </w:rPr>
        <w:t>Geef de vergelijkingen voor de reacties die kunnen optreden als verdund zwavelzuur wordt toegevoegd aan een oplossing van natriumsulfiet.</w:t>
      </w:r>
    </w:p>
    <w:p w:rsidR="00615412" w:rsidRDefault="00615412" w:rsidP="00615412">
      <w:pPr>
        <w:pStyle w:val="CSElijst"/>
        <w:numPr>
          <w:ilvl w:val="0"/>
          <w:numId w:val="7"/>
        </w:numPr>
        <w:ind w:left="0" w:hanging="567"/>
      </w:pPr>
      <w:r w:rsidRPr="00615412">
        <w:rPr>
          <w:lang w:val="nl-NL"/>
        </w:rPr>
        <w:t xml:space="preserve">Bij de beschreven bepaling was ook na toevoeging van het zwavelzuur aan de sulfietoplossing de oplossing nog enigszins basisch. </w:t>
      </w:r>
      <w:r w:rsidRPr="00D62E83">
        <w:t>Geef hiervoor een verklaring.</w:t>
      </w:r>
    </w:p>
    <w:p w:rsidR="00615412" w:rsidRPr="00615412" w:rsidRDefault="00615412" w:rsidP="00615412">
      <w:pPr>
        <w:pStyle w:val="CSElijst"/>
        <w:numPr>
          <w:ilvl w:val="0"/>
          <w:numId w:val="7"/>
        </w:numPr>
        <w:ind w:left="0" w:hanging="567"/>
        <w:rPr>
          <w:lang w:val="nl-NL"/>
        </w:rPr>
      </w:pPr>
      <w:r w:rsidRPr="00615412">
        <w:rPr>
          <w:lang w:val="nl-NL"/>
        </w:rPr>
        <w:t>Welke reactie treedt op tijdens de titratie met natronloog?</w:t>
      </w:r>
    </w:p>
    <w:p w:rsidR="00615412" w:rsidRPr="00D62E83" w:rsidRDefault="00615412" w:rsidP="00615412">
      <w:pPr>
        <w:pStyle w:val="CSElijst"/>
        <w:numPr>
          <w:ilvl w:val="0"/>
          <w:numId w:val="7"/>
        </w:numPr>
        <w:ind w:left="0" w:hanging="567"/>
      </w:pPr>
      <w:bookmarkStart w:id="4" w:name="_Ref150421809"/>
      <w:r w:rsidRPr="00615412">
        <w:rPr>
          <w:lang w:val="nl-NL"/>
        </w:rPr>
        <w:t xml:space="preserve">Maak een zo nauwkeurig mogelijke schatting van het eindpunt van de titratie. </w:t>
      </w:r>
      <w:r w:rsidRPr="00D62E83">
        <w:t>Licht je antwoord toe.</w:t>
      </w:r>
      <w:bookmarkEnd w:id="4"/>
    </w:p>
    <w:p w:rsidR="00615412" w:rsidRPr="00615412" w:rsidRDefault="00615412" w:rsidP="00615412">
      <w:pPr>
        <w:pStyle w:val="CSElijst"/>
        <w:numPr>
          <w:ilvl w:val="0"/>
          <w:numId w:val="7"/>
        </w:numPr>
        <w:ind w:left="0" w:hanging="567"/>
        <w:rPr>
          <w:lang w:val="nl-NL"/>
        </w:rPr>
      </w:pPr>
      <w:r w:rsidRPr="00615412">
        <w:rPr>
          <w:lang w:val="nl-NL"/>
        </w:rPr>
        <w:t xml:space="preserve">Geef met behulp van je antwoord onder </w:t>
      </w:r>
      <w:r>
        <w:fldChar w:fldCharType="begin"/>
      </w:r>
      <w:r w:rsidRPr="00615412">
        <w:rPr>
          <w:lang w:val="nl-NL"/>
        </w:rPr>
        <w:instrText xml:space="preserve"> REF _Ref150421809 \r  \* MERGEFORMAT </w:instrText>
      </w:r>
      <w:r>
        <w:fldChar w:fldCharType="separate"/>
      </w:r>
      <w:r w:rsidRPr="00615412">
        <w:rPr>
          <w:lang w:val="nl-NL"/>
        </w:rPr>
        <w:t xml:space="preserve">10 </w:t>
      </w:r>
      <w:r>
        <w:t></w:t>
      </w:r>
      <w:r>
        <w:fldChar w:fldCharType="end"/>
      </w:r>
      <w:r w:rsidRPr="00615412">
        <w:rPr>
          <w:iCs/>
          <w:lang w:val="nl-NL"/>
        </w:rPr>
        <w:t xml:space="preserve"> </w:t>
      </w:r>
      <w:r w:rsidRPr="00615412">
        <w:rPr>
          <w:lang w:val="nl-NL"/>
        </w:rPr>
        <w:t>een berekening van het aantal gram ethanal in de 10,00 mL van de onderzochte oplossing.</w:t>
      </w:r>
    </w:p>
    <w:p w:rsidR="00615412" w:rsidRPr="00D62E83" w:rsidRDefault="00615412" w:rsidP="00615412">
      <w:pPr>
        <w:pStyle w:val="CSElijst"/>
        <w:numPr>
          <w:ilvl w:val="0"/>
          <w:numId w:val="7"/>
        </w:numPr>
        <w:ind w:left="0" w:hanging="567"/>
      </w:pPr>
      <w:r w:rsidRPr="00615412">
        <w:rPr>
          <w:lang w:val="nl-NL"/>
        </w:rPr>
        <w:t xml:space="preserve">Zou men de bepaling met fenolftaleïen als indicator kunnen uitvoeren in plaats van met een pH-meter? </w:t>
      </w:r>
      <w:r w:rsidRPr="00D62E83">
        <w:t>Licht je antwoord toe.</w:t>
      </w:r>
    </w:p>
    <w:bookmarkStart w:id="5" w:name="_Toc189575751"/>
    <w:bookmarkStart w:id="6" w:name="_Toc490827208"/>
    <w:p w:rsidR="00615412" w:rsidRDefault="00615412" w:rsidP="00615412">
      <w:pPr>
        <w:pStyle w:val="Kop2"/>
      </w:pPr>
      <w:r w:rsidRPr="0018005E">
        <w:rPr>
          <w:noProof/>
        </w:rPr>
        <mc:AlternateContent>
          <mc:Choice Requires="wps">
            <w:drawing>
              <wp:anchor distT="0" distB="0" distL="0" distR="0" simplePos="0" relativeHeight="251662336" behindDoc="0" locked="0" layoutInCell="0" allowOverlap="1" wp14:anchorId="564B313F" wp14:editId="1DAD1328">
                <wp:simplePos x="0" y="0"/>
                <wp:positionH relativeFrom="margin">
                  <wp:align>center</wp:align>
                </wp:positionH>
                <wp:positionV relativeFrom="paragraph">
                  <wp:posOffset>339127</wp:posOffset>
                </wp:positionV>
                <wp:extent cx="6172835" cy="0"/>
                <wp:effectExtent l="0" t="19050" r="56515" b="38100"/>
                <wp:wrapSquare wrapText="bothSides"/>
                <wp:docPr id="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B20D"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7pt" to="486.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si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M4w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" o:allowincell="f" strokecolor="silver" strokeweight="4.8pt">
                <w10:wrap type="square" anchorx="margin"/>
              </v:line>
            </w:pict>
          </mc:Fallback>
        </mc:AlternateContent>
      </w:r>
      <w:r w:rsidRPr="00D62E83">
        <w:t>De eenheidscel</w:t>
      </w:r>
      <w:r>
        <w:tab/>
      </w:r>
      <w:r w:rsidRPr="00D62E83">
        <w:t>1977-I(III)</w:t>
      </w:r>
      <w:bookmarkEnd w:id="5"/>
      <w:bookmarkEnd w:id="6"/>
    </w:p>
    <w:p w:rsidR="00615412" w:rsidRPr="00D62E83" w:rsidRDefault="00615412" w:rsidP="00615412">
      <w:r w:rsidRPr="00D62E83">
        <w:t>Een kristal keukenzout kunnen we beschrijven als een regelmatige stapeling van Na</w:t>
      </w:r>
      <w:r w:rsidRPr="00D62E83">
        <w:rPr>
          <w:vertAlign w:val="superscript"/>
        </w:rPr>
        <w:t>+</w:t>
      </w:r>
      <w:r w:rsidRPr="00D62E83">
        <w:t>-ionen en Cl</w:t>
      </w:r>
      <w:r w:rsidRPr="00D62E83">
        <w:rPr>
          <w:vertAlign w:val="superscript"/>
        </w:rPr>
        <w:sym w:font="Symbol" w:char="F02D"/>
      </w:r>
      <w:r w:rsidRPr="00D62E83">
        <w:t xml:space="preserve">-ionen. In </w:t>
      </w:r>
      <w:r w:rsidR="0045369A">
        <w:fldChar w:fldCharType="begin"/>
      </w:r>
      <w:r w:rsidR="0045369A">
        <w:instrText xml:space="preserve"> REF _Ref150256620  \* MERGEFORMAT </w:instrText>
      </w:r>
      <w:r w:rsidR="0045369A">
        <w:fldChar w:fldCharType="separate"/>
      </w:r>
      <w:r w:rsidRPr="00D62E83">
        <w:t>figuur</w:t>
      </w:r>
      <w:r>
        <w:tab/>
        <w:t>1</w:t>
      </w:r>
      <w:r w:rsidR="0045369A">
        <w:fldChar w:fldCharType="end"/>
      </w:r>
      <w:r w:rsidRPr="00D62E83">
        <w:t xml:space="preserve"> is de stapeling van dit ionrooster weergegeven. In </w:t>
      </w:r>
      <w:r w:rsidR="0045369A">
        <w:fldChar w:fldCharType="begin"/>
      </w:r>
      <w:r w:rsidR="0045369A">
        <w:instrText xml:space="preserve"> REF _Ref150421957  \* MERGEFORMAT </w:instrText>
      </w:r>
      <w:r w:rsidR="0045369A">
        <w:fldChar w:fldCharType="separate"/>
      </w:r>
      <w:r w:rsidRPr="00D62E83">
        <w:t xml:space="preserve">figuur </w:t>
      </w:r>
      <w:r>
        <w:t>2</w:t>
      </w:r>
      <w:r w:rsidR="0045369A">
        <w:fldChar w:fldCharType="end"/>
      </w:r>
      <w:r w:rsidRPr="00D62E83">
        <w:t xml:space="preserve"> zijn slechts de posities van de ionen in dit rooster aangegeven; de getekende lijnen dienen ter verduidelijking van de ruimtelijke structuur.</w:t>
      </w:r>
    </w:p>
    <w:p w:rsidR="00615412" w:rsidRPr="00D62E83" w:rsidRDefault="00615412" w:rsidP="00615412">
      <w:r w:rsidRPr="00D62E83">
        <w:rPr>
          <w:noProof/>
        </w:rPr>
        <w:drawing>
          <wp:inline distT="0" distB="0" distL="0" distR="0" wp14:anchorId="13C4B422" wp14:editId="7C3F4494">
            <wp:extent cx="1530350" cy="1330657"/>
            <wp:effectExtent l="0" t="0" r="0" b="3175"/>
            <wp:docPr id="1610" name="Afbeelding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srcRect b="1978"/>
                    <a:stretch/>
                  </pic:blipFill>
                  <pic:spPr bwMode="auto">
                    <a:xfrm>
                      <a:off x="0" y="0"/>
                      <a:ext cx="1544189" cy="1342690"/>
                    </a:xfrm>
                    <a:prstGeom prst="rect">
                      <a:avLst/>
                    </a:prstGeom>
                    <a:noFill/>
                    <a:ln>
                      <a:noFill/>
                    </a:ln>
                    <a:extLst>
                      <a:ext uri="{53640926-AAD7-44D8-BBD7-CCE9431645EC}">
                        <a14:shadowObscured xmlns:a14="http://schemas.microsoft.com/office/drawing/2010/main"/>
                      </a:ext>
                    </a:extLst>
                  </pic:spPr>
                </pic:pic>
              </a:graphicData>
            </a:graphic>
          </wp:inline>
        </w:drawing>
      </w:r>
      <w:r w:rsidRPr="00D62E83">
        <w:tab/>
      </w:r>
      <w:r w:rsidRPr="00D62E83">
        <w:rPr>
          <w:noProof/>
        </w:rPr>
        <w:drawing>
          <wp:inline distT="0" distB="0" distL="0" distR="0" wp14:anchorId="2236E5DE" wp14:editId="2F1D321E">
            <wp:extent cx="1357327" cy="1220963"/>
            <wp:effectExtent l="0" t="0" r="0" b="0"/>
            <wp:docPr id="1630" name="Afbeelding 1630" descr="D:\Documenten en Settings\Peter de Groot\Local Settings\Temporary Internet Files\Content.Word\Nieuwe afbeeldin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D:\Documenten en Settings\Peter de Groot\Local Settings\Temporary Internet Files\Content.Word\Nieuwe afbeelding (4).png"/>
                    <pic:cNvPicPr>
                      <a:picLocks noChangeAspect="1" noChangeArrowheads="1"/>
                    </pic:cNvPicPr>
                  </pic:nvPicPr>
                  <pic:blipFill rotWithShape="1">
                    <a:blip r:embed="rId8" cstate="print"/>
                    <a:srcRect t="16231" b="5234"/>
                    <a:stretch/>
                  </pic:blipFill>
                  <pic:spPr bwMode="auto">
                    <a:xfrm>
                      <a:off x="0" y="0"/>
                      <a:ext cx="1358265" cy="1221807"/>
                    </a:xfrm>
                    <a:prstGeom prst="rect">
                      <a:avLst/>
                    </a:prstGeom>
                    <a:noFill/>
                    <a:ln>
                      <a:noFill/>
                    </a:ln>
                    <a:extLst>
                      <a:ext uri="{53640926-AAD7-44D8-BBD7-CCE9431645EC}">
                        <a14:shadowObscured xmlns:a14="http://schemas.microsoft.com/office/drawing/2010/main"/>
                      </a:ext>
                    </a:extLst>
                  </pic:spPr>
                </pic:pic>
              </a:graphicData>
            </a:graphic>
          </wp:inline>
        </w:drawing>
      </w:r>
    </w:p>
    <w:p w:rsidR="00615412" w:rsidRPr="00D62E83" w:rsidRDefault="00615412" w:rsidP="00615412">
      <w:pPr>
        <w:pStyle w:val="Bijschrift"/>
        <w:rPr>
          <w:szCs w:val="22"/>
        </w:rPr>
      </w:pPr>
      <w:bookmarkStart w:id="7" w:name="_Ref150256620"/>
      <w:bookmarkStart w:id="8" w:name="_Ref150422119"/>
      <w:r w:rsidRPr="00D62E83">
        <w:t>figuur</w:t>
      </w:r>
      <w:r>
        <w:tab/>
      </w:r>
      <w:r w:rsidR="0045369A">
        <w:fldChar w:fldCharType="begin"/>
      </w:r>
      <w:r w:rsidR="0045369A">
        <w:instrText xml:space="preserve"> SEQ figuur \* ARABIC </w:instrText>
      </w:r>
      <w:r w:rsidR="0045369A">
        <w:fldChar w:fldCharType="separate"/>
      </w:r>
      <w:r>
        <w:rPr>
          <w:noProof/>
        </w:rPr>
        <w:t>1</w:t>
      </w:r>
      <w:r w:rsidR="0045369A">
        <w:rPr>
          <w:noProof/>
        </w:rPr>
        <w:fldChar w:fldCharType="end"/>
      </w:r>
      <w:bookmarkEnd w:id="7"/>
      <w:r w:rsidRPr="00D62E83">
        <w:tab/>
      </w:r>
      <w:bookmarkStart w:id="9" w:name="_Ref150421957"/>
      <w:r w:rsidRPr="00D62E83">
        <w:t xml:space="preserve">figuur </w:t>
      </w:r>
      <w:r w:rsidR="0045369A">
        <w:fldChar w:fldCharType="begin"/>
      </w:r>
      <w:r w:rsidR="0045369A">
        <w:instrText xml:space="preserve"> SEQ figuur \* ARABIC </w:instrText>
      </w:r>
      <w:r w:rsidR="0045369A">
        <w:fldChar w:fldCharType="separate"/>
      </w:r>
      <w:r>
        <w:rPr>
          <w:noProof/>
        </w:rPr>
        <w:t>2</w:t>
      </w:r>
      <w:r w:rsidR="0045369A">
        <w:rPr>
          <w:noProof/>
        </w:rPr>
        <w:fldChar w:fldCharType="end"/>
      </w:r>
      <w:bookmarkEnd w:id="8"/>
      <w:bookmarkEnd w:id="9"/>
    </w:p>
    <w:p w:rsidR="00615412" w:rsidRPr="00D62E83" w:rsidRDefault="00615412" w:rsidP="00615412">
      <w:pPr>
        <w:pStyle w:val="Interlinie"/>
      </w:pPr>
      <w:r w:rsidRPr="00D62E83">
        <w:lastRenderedPageBreak/>
        <w:t xml:space="preserve">Als we veronderstellen dat de ionen in dit rooster zich gedragen als harde bollen, dan kunnen we aan elke ionsoort een bepaalde straal </w:t>
      </w:r>
      <w:r w:rsidRPr="00D62E83">
        <w:rPr>
          <w:i/>
          <w:iCs/>
        </w:rPr>
        <w:t>r</w:t>
      </w:r>
      <w:r w:rsidRPr="00D62E83">
        <w:rPr>
          <w:iCs/>
        </w:rPr>
        <w:t xml:space="preserve"> </w:t>
      </w:r>
      <w:r w:rsidRPr="00D62E83">
        <w:t>toekennen. Omdat positieve ionen en negatieve ionen elkaar raken, is</w:t>
      </w:r>
      <w:r>
        <w:t xml:space="preserve"> </w:t>
      </w:r>
      <w:r w:rsidRPr="00D62E83">
        <w:rPr>
          <w:position w:val="-16"/>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75pt" o:ole="">
            <v:imagedata r:id="rId9" o:title=""/>
          </v:shape>
          <o:OLEObject Type="Embed" ProgID="Equation.3" ShapeID="_x0000_i1025" DrawAspect="Content" ObjectID="_1570299287" r:id="rId10"/>
        </w:object>
      </w:r>
      <w:r w:rsidRPr="00D62E83">
        <w:t> </w:t>
      </w:r>
      <w:r w:rsidRPr="00C71845">
        <w:rPr>
          <w:position w:val="-6"/>
        </w:rPr>
        <w:t>+</w:t>
      </w:r>
      <w:r w:rsidRPr="00D62E83">
        <w:t> </w:t>
      </w:r>
      <w:r w:rsidRPr="00D62E83">
        <w:rPr>
          <w:position w:val="-16"/>
        </w:rPr>
        <w:object w:dxaOrig="440" w:dyaOrig="380">
          <v:shape id="_x0000_i1026" type="#_x0000_t75" style="width:21.75pt;height:18.75pt" o:ole="">
            <v:imagedata r:id="rId11" o:title=""/>
          </v:shape>
          <o:OLEObject Type="Embed" ProgID="Equation.3" ShapeID="_x0000_i1026" DrawAspect="Content" ObjectID="_1570299288" r:id="rId12"/>
        </w:object>
      </w:r>
      <w:r w:rsidRPr="00D62E83">
        <w:t xml:space="preserve"> = </w:t>
      </w:r>
      <w:r w:rsidRPr="00D62E83">
        <w:rPr>
          <w:i/>
          <w:iCs/>
        </w:rPr>
        <w:t>p</w:t>
      </w:r>
      <w:r w:rsidRPr="00D62E83">
        <w:rPr>
          <w:iCs/>
        </w:rPr>
        <w:t xml:space="preserve"> </w:t>
      </w:r>
      <w:r w:rsidRPr="00D62E83">
        <w:t xml:space="preserve">(zie </w:t>
      </w:r>
      <w:r w:rsidR="0045369A">
        <w:fldChar w:fldCharType="begin"/>
      </w:r>
      <w:r w:rsidR="0045369A">
        <w:instrText xml:space="preserve"> REF _Ref150421957  \* MERGEFORMAT </w:instrText>
      </w:r>
      <w:r w:rsidR="0045369A">
        <w:fldChar w:fldCharType="separate"/>
      </w:r>
      <w:r w:rsidRPr="00D62E83">
        <w:t xml:space="preserve">figuur </w:t>
      </w:r>
      <w:r>
        <w:t>2</w:t>
      </w:r>
      <w:r w:rsidR="0045369A">
        <w:fldChar w:fldCharType="end"/>
      </w:r>
      <w:r w:rsidRPr="00D62E83">
        <w:t>).</w:t>
      </w:r>
    </w:p>
    <w:p w:rsidR="00615412" w:rsidRPr="00D62E83" w:rsidRDefault="00615412" w:rsidP="00615412">
      <w:r w:rsidRPr="00D62E83">
        <w:t xml:space="preserve">Men kan </w:t>
      </w:r>
      <w:r w:rsidRPr="00D62E83">
        <w:rPr>
          <w:i/>
          <w:iCs/>
        </w:rPr>
        <w:t>p</w:t>
      </w:r>
      <w:r w:rsidRPr="00D62E83">
        <w:rPr>
          <w:iCs/>
        </w:rPr>
        <w:t xml:space="preserve"> </w:t>
      </w:r>
      <w:r w:rsidRPr="00D62E83">
        <w:t xml:space="preserve">berekenen uit het volume van een mol keukenzout met behulp van </w:t>
      </w:r>
      <w:r w:rsidRPr="00D62E83">
        <w:rPr>
          <w:i/>
          <w:iCs/>
        </w:rPr>
        <w:t>N</w:t>
      </w:r>
      <w:r w:rsidRPr="00D62E83">
        <w:rPr>
          <w:iCs/>
          <w:vertAlign w:val="subscript"/>
        </w:rPr>
        <w:t>A</w:t>
      </w:r>
      <w:r w:rsidRPr="00D62E83">
        <w:rPr>
          <w:iCs/>
        </w:rPr>
        <w:t xml:space="preserve">, </w:t>
      </w:r>
      <w:r w:rsidRPr="00D62E83">
        <w:t>het getal van Avogadro.</w:t>
      </w:r>
    </w:p>
    <w:p w:rsidR="00615412" w:rsidRPr="00D62E83" w:rsidRDefault="00615412" w:rsidP="00615412">
      <w:pPr>
        <w:pStyle w:val="CSElijst"/>
        <w:numPr>
          <w:ilvl w:val="0"/>
          <w:numId w:val="7"/>
        </w:numPr>
        <w:ind w:left="0" w:hanging="567"/>
      </w:pPr>
      <w:bookmarkStart w:id="10" w:name="_Ref150422090"/>
      <w:r w:rsidRPr="00615412">
        <w:rPr>
          <w:lang w:val="nl-NL"/>
        </w:rPr>
        <w:t xml:space="preserve">Bereken het volume, alsmede de lengte van de ribbe van een kubusvormig kristal keukenzout dat 58,5 gram weegt. </w:t>
      </w:r>
      <w:r w:rsidRPr="00D62E83">
        <w:t>De soortelijke massa van natriumchloride bedraagt 2,17 gram cm</w:t>
      </w:r>
      <w:r w:rsidRPr="00D62E83">
        <w:rPr>
          <w:vertAlign w:val="superscript"/>
        </w:rPr>
        <w:sym w:font="Symbol" w:char="F02D"/>
      </w:r>
      <w:r w:rsidRPr="00D62E83">
        <w:rPr>
          <w:vertAlign w:val="superscript"/>
        </w:rPr>
        <w:t>3</w:t>
      </w:r>
      <w:bookmarkEnd w:id="10"/>
      <w:r w:rsidRPr="00D62E83">
        <w:t>.</w:t>
      </w:r>
    </w:p>
    <w:p w:rsidR="00615412" w:rsidRPr="00615412" w:rsidRDefault="00615412" w:rsidP="00615412">
      <w:pPr>
        <w:pStyle w:val="CSElijst"/>
        <w:numPr>
          <w:ilvl w:val="0"/>
          <w:numId w:val="7"/>
        </w:numPr>
        <w:ind w:left="0" w:hanging="567"/>
        <w:rPr>
          <w:iCs/>
          <w:lang w:val="nl-NL"/>
        </w:rPr>
      </w:pPr>
      <w:r w:rsidRPr="00615412">
        <w:rPr>
          <w:lang w:val="nl-NL"/>
        </w:rPr>
        <w:t xml:space="preserve">Geef aan hoe je </w:t>
      </w:r>
      <w:r w:rsidRPr="00615412">
        <w:rPr>
          <w:rStyle w:val="OpmaakprofielVraagCursiefChar"/>
          <w:rFonts w:eastAsiaTheme="minorEastAsia"/>
          <w:lang w:val="nl-NL"/>
        </w:rPr>
        <w:t>p</w:t>
      </w:r>
      <w:r w:rsidRPr="00615412">
        <w:rPr>
          <w:iCs/>
          <w:lang w:val="nl-NL"/>
        </w:rPr>
        <w:t xml:space="preserve"> </w:t>
      </w:r>
      <w:r w:rsidRPr="00615412">
        <w:rPr>
          <w:lang w:val="nl-NL"/>
        </w:rPr>
        <w:t xml:space="preserve">kunt berekenen, uitgaande van je antwoord in </w:t>
      </w:r>
      <w:r>
        <w:fldChar w:fldCharType="begin"/>
      </w:r>
      <w:r w:rsidRPr="00615412">
        <w:rPr>
          <w:lang w:val="nl-NL"/>
        </w:rPr>
        <w:instrText xml:space="preserve"> REF _Ref150422090 \r  \* MERGEFORMAT </w:instrText>
      </w:r>
      <w:r>
        <w:fldChar w:fldCharType="separate"/>
      </w:r>
      <w:r w:rsidRPr="00615412">
        <w:rPr>
          <w:lang w:val="nl-NL"/>
        </w:rPr>
        <w:t xml:space="preserve">13 </w:t>
      </w:r>
      <w:r>
        <w:t></w:t>
      </w:r>
      <w:r>
        <w:fldChar w:fldCharType="end"/>
      </w:r>
      <w:r w:rsidRPr="00615412">
        <w:rPr>
          <w:iCs/>
          <w:lang w:val="nl-NL"/>
        </w:rPr>
        <w:t>.</w:t>
      </w:r>
    </w:p>
    <w:p w:rsidR="00615412" w:rsidRPr="00D62E83" w:rsidRDefault="00615412" w:rsidP="00615412">
      <w:r w:rsidRPr="00D62E83">
        <w:t xml:space="preserve">Uit </w:t>
      </w:r>
      <w:r w:rsidRPr="00D62E83">
        <w:rPr>
          <w:i/>
          <w:iCs/>
        </w:rPr>
        <w:t>p</w:t>
      </w:r>
      <w:r w:rsidRPr="00D62E83">
        <w:rPr>
          <w:iCs/>
        </w:rPr>
        <w:t xml:space="preserve"> </w:t>
      </w:r>
      <w:r w:rsidRPr="00D62E83">
        <w:t xml:space="preserve">kan echter </w:t>
      </w:r>
      <w:r w:rsidRPr="00D62E83">
        <w:rPr>
          <w:position w:val="-16"/>
        </w:rPr>
        <w:object w:dxaOrig="480" w:dyaOrig="380">
          <v:shape id="_x0000_i1027" type="#_x0000_t75" style="width:24pt;height:18.75pt" o:ole="">
            <v:imagedata r:id="rId9" o:title=""/>
          </v:shape>
          <o:OLEObject Type="Embed" ProgID="Equation.3" ShapeID="_x0000_i1027" DrawAspect="Content" ObjectID="_1570299289" r:id="rId13"/>
        </w:object>
      </w:r>
      <w:r w:rsidRPr="00D62E83">
        <w:t xml:space="preserve"> of </w:t>
      </w:r>
      <w:r w:rsidRPr="00D62E83">
        <w:rPr>
          <w:position w:val="-16"/>
        </w:rPr>
        <w:object w:dxaOrig="440" w:dyaOrig="380">
          <v:shape id="_x0000_i1028" type="#_x0000_t75" style="width:21.75pt;height:18.75pt" o:ole="">
            <v:imagedata r:id="rId11" o:title=""/>
          </v:shape>
          <o:OLEObject Type="Embed" ProgID="Equation.3" ShapeID="_x0000_i1028" DrawAspect="Content" ObjectID="_1570299290" r:id="rId14"/>
        </w:object>
      </w:r>
      <w:r w:rsidRPr="00D62E83">
        <w:t xml:space="preserve"> niet worden berekend. Om deze ionstralen toch te kunnen berekenen heeft men meer gegevens nodig: </w:t>
      </w:r>
      <w:r w:rsidR="0045369A">
        <w:fldChar w:fldCharType="begin"/>
      </w:r>
      <w:r w:rsidR="0045369A">
        <w:instrText xml:space="preserve"> REF _Ref150421957  \* MERGEFORMAT </w:instrText>
      </w:r>
      <w:r w:rsidR="0045369A">
        <w:fldChar w:fldCharType="separate"/>
      </w:r>
      <w:r w:rsidRPr="00D62E83">
        <w:t xml:space="preserve">figuur </w:t>
      </w:r>
      <w:r>
        <w:t>2</w:t>
      </w:r>
      <w:r w:rsidR="0045369A">
        <w:fldChar w:fldCharType="end"/>
      </w:r>
      <w:r w:rsidRPr="00D62E83">
        <w:t xml:space="preserve"> beschrijft ook het ionrooster van andere alkalihalogeniden; in onderstaande tabel is voor een aantal van deze zouten </w:t>
      </w:r>
      <w:r w:rsidRPr="00D62E83">
        <w:rPr>
          <w:i/>
          <w:iCs/>
        </w:rPr>
        <w:t>p</w:t>
      </w:r>
      <w:r w:rsidRPr="00D62E83">
        <w:rPr>
          <w:iCs/>
        </w:rPr>
        <w:t xml:space="preserve"> </w:t>
      </w:r>
      <w:r w:rsidRPr="00D62E83">
        <w:t>vermeld, zoals die uit nauwkeuriger gegevens is berekend.</w:t>
      </w:r>
    </w:p>
    <w:tbl>
      <w:tblPr>
        <w:tblW w:w="0" w:type="auto"/>
        <w:tblLook w:val="01E0" w:firstRow="1" w:lastRow="1" w:firstColumn="1" w:lastColumn="1" w:noHBand="0" w:noVBand="0"/>
      </w:tblPr>
      <w:tblGrid>
        <w:gridCol w:w="595"/>
        <w:gridCol w:w="601"/>
        <w:gridCol w:w="681"/>
        <w:gridCol w:w="601"/>
        <w:gridCol w:w="693"/>
        <w:gridCol w:w="601"/>
      </w:tblGrid>
      <w:tr w:rsidR="00615412" w:rsidRPr="00D62E83" w:rsidTr="00F52AE9">
        <w:tc>
          <w:tcPr>
            <w:tcW w:w="0" w:type="auto"/>
            <w:gridSpan w:val="6"/>
            <w:tcBorders>
              <w:bottom w:val="single" w:sz="4" w:space="0" w:color="auto"/>
            </w:tcBorders>
          </w:tcPr>
          <w:p w:rsidR="00615412" w:rsidRPr="00D62E83" w:rsidRDefault="00615412" w:rsidP="00F52AE9">
            <w:r w:rsidRPr="00D62E83">
              <w:rPr>
                <w:i/>
              </w:rPr>
              <w:t>p</w:t>
            </w:r>
            <w:r w:rsidRPr="00D62E83">
              <w:t xml:space="preserve"> in 10</w:t>
            </w:r>
            <w:r w:rsidRPr="00D62E83">
              <w:rPr>
                <w:vertAlign w:val="superscript"/>
              </w:rPr>
              <w:sym w:font="Symbol" w:char="F02D"/>
            </w:r>
            <w:r w:rsidRPr="00D62E83">
              <w:rPr>
                <w:vertAlign w:val="superscript"/>
              </w:rPr>
              <w:t>8</w:t>
            </w:r>
            <w:r w:rsidRPr="00D62E83">
              <w:t xml:space="preserve"> cm</w:t>
            </w:r>
          </w:p>
        </w:tc>
      </w:tr>
      <w:tr w:rsidR="00615412" w:rsidRPr="00D62E83" w:rsidTr="00F52AE9">
        <w:tc>
          <w:tcPr>
            <w:tcW w:w="0" w:type="auto"/>
            <w:tcBorders>
              <w:top w:val="single" w:sz="4" w:space="0" w:color="auto"/>
            </w:tcBorders>
          </w:tcPr>
          <w:p w:rsidR="00615412" w:rsidRPr="00D62E83" w:rsidRDefault="00615412" w:rsidP="00F52AE9">
            <w:r w:rsidRPr="00D62E83">
              <w:t>LiF</w:t>
            </w:r>
          </w:p>
        </w:tc>
        <w:tc>
          <w:tcPr>
            <w:tcW w:w="0" w:type="auto"/>
            <w:tcBorders>
              <w:top w:val="single" w:sz="4" w:space="0" w:color="auto"/>
            </w:tcBorders>
          </w:tcPr>
          <w:p w:rsidR="00615412" w:rsidRPr="00D62E83" w:rsidRDefault="00615412" w:rsidP="00F52AE9">
            <w:r w:rsidRPr="00D62E83">
              <w:t>2,01</w:t>
            </w:r>
          </w:p>
        </w:tc>
        <w:tc>
          <w:tcPr>
            <w:tcW w:w="0" w:type="auto"/>
            <w:tcBorders>
              <w:top w:val="single" w:sz="4" w:space="0" w:color="auto"/>
            </w:tcBorders>
          </w:tcPr>
          <w:p w:rsidR="00615412" w:rsidRPr="00D62E83" w:rsidRDefault="00615412" w:rsidP="00F52AE9">
            <w:r w:rsidRPr="00D62E83">
              <w:t>LiCl</w:t>
            </w:r>
          </w:p>
        </w:tc>
        <w:tc>
          <w:tcPr>
            <w:tcW w:w="0" w:type="auto"/>
            <w:tcBorders>
              <w:top w:val="single" w:sz="4" w:space="0" w:color="auto"/>
            </w:tcBorders>
          </w:tcPr>
          <w:p w:rsidR="00615412" w:rsidRPr="00D62E83" w:rsidRDefault="00615412" w:rsidP="00F52AE9">
            <w:r w:rsidRPr="00D62E83">
              <w:t>2,57</w:t>
            </w:r>
          </w:p>
        </w:tc>
        <w:tc>
          <w:tcPr>
            <w:tcW w:w="0" w:type="auto"/>
            <w:tcBorders>
              <w:top w:val="single" w:sz="4" w:space="0" w:color="auto"/>
            </w:tcBorders>
          </w:tcPr>
          <w:p w:rsidR="00615412" w:rsidRPr="00D62E83" w:rsidRDefault="00615412" w:rsidP="00F52AE9">
            <w:r w:rsidRPr="00D62E83">
              <w:t>LiBr</w:t>
            </w:r>
          </w:p>
        </w:tc>
        <w:tc>
          <w:tcPr>
            <w:tcW w:w="0" w:type="auto"/>
            <w:tcBorders>
              <w:top w:val="single" w:sz="4" w:space="0" w:color="auto"/>
            </w:tcBorders>
          </w:tcPr>
          <w:p w:rsidR="00615412" w:rsidRPr="00D62E83" w:rsidRDefault="00615412" w:rsidP="00F52AE9">
            <w:r w:rsidRPr="00D62E83">
              <w:t>2,75</w:t>
            </w:r>
          </w:p>
        </w:tc>
      </w:tr>
      <w:tr w:rsidR="00615412" w:rsidRPr="00D62E83" w:rsidTr="00F52AE9">
        <w:tc>
          <w:tcPr>
            <w:tcW w:w="0" w:type="auto"/>
          </w:tcPr>
          <w:p w:rsidR="00615412" w:rsidRPr="00D62E83" w:rsidRDefault="00615412" w:rsidP="00F52AE9">
            <w:r w:rsidRPr="00D62E83">
              <w:t>NaF</w:t>
            </w:r>
          </w:p>
        </w:tc>
        <w:tc>
          <w:tcPr>
            <w:tcW w:w="0" w:type="auto"/>
          </w:tcPr>
          <w:p w:rsidR="00615412" w:rsidRPr="00D62E83" w:rsidRDefault="00615412" w:rsidP="00F52AE9">
            <w:r w:rsidRPr="00D62E83">
              <w:t>2,40</w:t>
            </w:r>
          </w:p>
        </w:tc>
        <w:tc>
          <w:tcPr>
            <w:tcW w:w="0" w:type="auto"/>
          </w:tcPr>
          <w:p w:rsidR="00615412" w:rsidRPr="00D62E83" w:rsidRDefault="00615412" w:rsidP="00F52AE9">
            <w:r w:rsidRPr="00D62E83">
              <w:t>NaCl</w:t>
            </w:r>
          </w:p>
        </w:tc>
        <w:tc>
          <w:tcPr>
            <w:tcW w:w="0" w:type="auto"/>
          </w:tcPr>
          <w:p w:rsidR="00615412" w:rsidRPr="00D62E83" w:rsidRDefault="00615412" w:rsidP="00F52AE9">
            <w:r w:rsidRPr="00D62E83">
              <w:t>2,82</w:t>
            </w:r>
          </w:p>
        </w:tc>
        <w:tc>
          <w:tcPr>
            <w:tcW w:w="0" w:type="auto"/>
          </w:tcPr>
          <w:p w:rsidR="00615412" w:rsidRPr="00D62E83" w:rsidRDefault="00615412" w:rsidP="00F52AE9">
            <w:r w:rsidRPr="00D62E83">
              <w:t>NaBr</w:t>
            </w:r>
          </w:p>
        </w:tc>
        <w:tc>
          <w:tcPr>
            <w:tcW w:w="0" w:type="auto"/>
          </w:tcPr>
          <w:p w:rsidR="00615412" w:rsidRPr="00D62E83" w:rsidRDefault="00615412" w:rsidP="00F52AE9">
            <w:r w:rsidRPr="00D62E83">
              <w:t>2,99</w:t>
            </w:r>
          </w:p>
        </w:tc>
      </w:tr>
      <w:tr w:rsidR="00615412" w:rsidRPr="00D62E83" w:rsidTr="00F52AE9">
        <w:tc>
          <w:tcPr>
            <w:tcW w:w="0" w:type="auto"/>
          </w:tcPr>
          <w:p w:rsidR="00615412" w:rsidRPr="00D62E83" w:rsidRDefault="00615412" w:rsidP="00F52AE9">
            <w:r w:rsidRPr="00D62E83">
              <w:t>KF</w:t>
            </w:r>
          </w:p>
        </w:tc>
        <w:tc>
          <w:tcPr>
            <w:tcW w:w="0" w:type="auto"/>
          </w:tcPr>
          <w:p w:rsidR="00615412" w:rsidRPr="00D62E83" w:rsidRDefault="00615412" w:rsidP="00F52AE9">
            <w:r w:rsidRPr="00D62E83">
              <w:t>2,69</w:t>
            </w:r>
          </w:p>
        </w:tc>
        <w:tc>
          <w:tcPr>
            <w:tcW w:w="0" w:type="auto"/>
          </w:tcPr>
          <w:p w:rsidR="00615412" w:rsidRPr="00D62E83" w:rsidRDefault="00615412" w:rsidP="00F52AE9">
            <w:r w:rsidRPr="00D62E83">
              <w:t>KCl</w:t>
            </w:r>
          </w:p>
        </w:tc>
        <w:tc>
          <w:tcPr>
            <w:tcW w:w="0" w:type="auto"/>
          </w:tcPr>
          <w:p w:rsidR="00615412" w:rsidRPr="00D62E83" w:rsidRDefault="00615412" w:rsidP="00F52AE9">
            <w:r w:rsidRPr="00D62E83">
              <w:t>3,15</w:t>
            </w:r>
          </w:p>
        </w:tc>
        <w:tc>
          <w:tcPr>
            <w:tcW w:w="0" w:type="auto"/>
          </w:tcPr>
          <w:p w:rsidR="00615412" w:rsidRPr="00D62E83" w:rsidRDefault="00615412" w:rsidP="00F52AE9">
            <w:r w:rsidRPr="00D62E83">
              <w:t>KBr</w:t>
            </w:r>
          </w:p>
        </w:tc>
        <w:tc>
          <w:tcPr>
            <w:tcW w:w="0" w:type="auto"/>
          </w:tcPr>
          <w:p w:rsidR="00615412" w:rsidRPr="00D62E83" w:rsidRDefault="00615412" w:rsidP="00F52AE9">
            <w:r w:rsidRPr="00D62E83">
              <w:t>3,30</w:t>
            </w:r>
          </w:p>
        </w:tc>
      </w:tr>
      <w:tr w:rsidR="00615412" w:rsidRPr="00D62E83" w:rsidTr="00F52AE9">
        <w:tc>
          <w:tcPr>
            <w:tcW w:w="0" w:type="auto"/>
          </w:tcPr>
          <w:p w:rsidR="00615412" w:rsidRPr="00D62E83" w:rsidRDefault="00615412" w:rsidP="00F52AE9">
            <w:r w:rsidRPr="00D62E83">
              <w:t>LiI</w:t>
            </w:r>
          </w:p>
        </w:tc>
        <w:tc>
          <w:tcPr>
            <w:tcW w:w="0" w:type="auto"/>
          </w:tcPr>
          <w:p w:rsidR="00615412" w:rsidRPr="00D62E83" w:rsidRDefault="00615412" w:rsidP="00F52AE9">
            <w:r w:rsidRPr="00D62E83">
              <w:t>3,17</w:t>
            </w:r>
          </w:p>
        </w:tc>
        <w:tc>
          <w:tcPr>
            <w:tcW w:w="0" w:type="auto"/>
          </w:tcPr>
          <w:p w:rsidR="00615412" w:rsidRPr="00D62E83" w:rsidRDefault="00615412" w:rsidP="00F52AE9">
            <w:r w:rsidRPr="00D62E83">
              <w:t>NaI</w:t>
            </w:r>
          </w:p>
        </w:tc>
        <w:tc>
          <w:tcPr>
            <w:tcW w:w="0" w:type="auto"/>
          </w:tcPr>
          <w:p w:rsidR="00615412" w:rsidRPr="00D62E83" w:rsidRDefault="00615412" w:rsidP="00F52AE9">
            <w:r w:rsidRPr="00D62E83">
              <w:t>3,24</w:t>
            </w:r>
          </w:p>
        </w:tc>
        <w:tc>
          <w:tcPr>
            <w:tcW w:w="0" w:type="auto"/>
          </w:tcPr>
          <w:p w:rsidR="00615412" w:rsidRPr="00D62E83" w:rsidRDefault="00615412" w:rsidP="00F52AE9">
            <w:r w:rsidRPr="00D62E83">
              <w:t>KI</w:t>
            </w:r>
          </w:p>
        </w:tc>
        <w:tc>
          <w:tcPr>
            <w:tcW w:w="0" w:type="auto"/>
          </w:tcPr>
          <w:p w:rsidR="00615412" w:rsidRPr="00D62E83" w:rsidRDefault="00615412" w:rsidP="00F52AE9">
            <w:r w:rsidRPr="00D62E83">
              <w:t>3,53</w:t>
            </w:r>
          </w:p>
        </w:tc>
      </w:tr>
    </w:tbl>
    <w:p w:rsidR="00615412" w:rsidRPr="00D62E83" w:rsidRDefault="00615412" w:rsidP="00615412">
      <w:pPr>
        <w:pStyle w:val="Interlinie"/>
      </w:pPr>
      <w:r w:rsidRPr="00D62E83">
        <w:t xml:space="preserve">Berekent men de verschillen tussen de </w:t>
      </w:r>
      <w:r w:rsidRPr="00D62E83">
        <w:rPr>
          <w:i/>
        </w:rPr>
        <w:t>p</w:t>
      </w:r>
      <w:r w:rsidRPr="00D62E83">
        <w:t>-waarden van de natriumhalogeniden en de overeenkomstige kaliumhalogeniden, dan volgt daaruit dat de straal van het natriumion ongeveer 0,31</w:t>
      </w:r>
      <w:r w:rsidRPr="00D62E83">
        <w:sym w:font="Symbol" w:char="F0D7"/>
      </w:r>
      <w:r w:rsidRPr="00D62E83">
        <w:t>10</w:t>
      </w:r>
      <w:r w:rsidRPr="00D62E83">
        <w:rPr>
          <w:vertAlign w:val="superscript"/>
        </w:rPr>
        <w:sym w:font="Symbol" w:char="F02D"/>
      </w:r>
      <w:r w:rsidRPr="00D62E83">
        <w:rPr>
          <w:vertAlign w:val="superscript"/>
        </w:rPr>
        <w:t>8</w:t>
      </w:r>
      <w:r w:rsidRPr="00D62E83">
        <w:t>cm kleiner is dan die van het kaliumion.</w:t>
      </w:r>
    </w:p>
    <w:p w:rsidR="00615412" w:rsidRPr="00D62E83" w:rsidRDefault="00615412" w:rsidP="00615412">
      <w:r w:rsidRPr="00D62E83">
        <w:t xml:space="preserve">De straal voor een natriumion kan hieruit echter nog niet worden afgeleid. Stellen we </w:t>
      </w:r>
      <w:r w:rsidRPr="00D62E83">
        <w:rPr>
          <w:position w:val="-16"/>
        </w:rPr>
        <w:object w:dxaOrig="420" w:dyaOrig="380">
          <v:shape id="_x0000_i1029" type="#_x0000_t75" style="width:20.25pt;height:18.75pt" o:ole="">
            <v:imagedata r:id="rId15" o:title=""/>
          </v:shape>
          <o:OLEObject Type="Embed" ProgID="Equation.3" ShapeID="_x0000_i1029" DrawAspect="Content" ObjectID="_1570299291" r:id="rId16"/>
        </w:object>
      </w:r>
      <w:r w:rsidRPr="00D62E83">
        <w:t xml:space="preserve"> = </w:t>
      </w:r>
      <w:r w:rsidRPr="00D62E83">
        <w:rPr>
          <w:i/>
          <w:iCs/>
        </w:rPr>
        <w:t>x</w:t>
      </w:r>
      <w:r w:rsidRPr="00D62E83">
        <w:rPr>
          <w:iCs/>
        </w:rPr>
        <w:t xml:space="preserve">, </w:t>
      </w:r>
      <w:r w:rsidRPr="00D62E83">
        <w:t xml:space="preserve">dan kunnen </w:t>
      </w:r>
      <w:r w:rsidRPr="00D62E83">
        <w:rPr>
          <w:position w:val="-16"/>
        </w:rPr>
        <w:object w:dxaOrig="480" w:dyaOrig="380">
          <v:shape id="_x0000_i1030" type="#_x0000_t75" style="width:24pt;height:18.75pt" o:ole="">
            <v:imagedata r:id="rId9" o:title=""/>
          </v:shape>
          <o:OLEObject Type="Embed" ProgID="Equation.3" ShapeID="_x0000_i1030" DrawAspect="Content" ObjectID="_1570299292" r:id="rId17"/>
        </w:object>
      </w:r>
      <w:r w:rsidRPr="00D62E83">
        <w:t xml:space="preserve"> en </w:t>
      </w:r>
      <w:r w:rsidRPr="00D62E83">
        <w:rPr>
          <w:position w:val="-16"/>
        </w:rPr>
        <w:object w:dxaOrig="440" w:dyaOrig="380">
          <v:shape id="_x0000_i1031" type="#_x0000_t75" style="width:21.75pt;height:18.75pt" o:ole="">
            <v:imagedata r:id="rId11" o:title=""/>
          </v:shape>
          <o:OLEObject Type="Embed" ProgID="Equation.3" ShapeID="_x0000_i1031" DrawAspect="Content" ObjectID="_1570299293" r:id="rId18"/>
        </w:object>
      </w:r>
      <w:r w:rsidRPr="00D62E83">
        <w:t xml:space="preserve"> hierin worden uitgedrukt.</w:t>
      </w:r>
    </w:p>
    <w:p w:rsidR="00615412" w:rsidRPr="00615412" w:rsidRDefault="00615412" w:rsidP="00615412">
      <w:pPr>
        <w:pStyle w:val="CSElijst"/>
        <w:numPr>
          <w:ilvl w:val="0"/>
          <w:numId w:val="7"/>
        </w:numPr>
        <w:ind w:left="0" w:hanging="567"/>
        <w:rPr>
          <w:iCs/>
          <w:lang w:val="nl-NL"/>
        </w:rPr>
      </w:pPr>
      <w:r w:rsidRPr="00615412">
        <w:rPr>
          <w:lang w:val="nl-NL"/>
        </w:rPr>
        <w:t xml:space="preserve">Druk </w:t>
      </w:r>
      <w:r w:rsidRPr="00C71845">
        <w:rPr>
          <w:position w:val="-6"/>
        </w:rPr>
        <w:object w:dxaOrig="480" w:dyaOrig="380">
          <v:shape id="_x0000_i1032" type="#_x0000_t75" style="width:24pt;height:18.75pt" o:ole="">
            <v:imagedata r:id="rId9" o:title=""/>
          </v:shape>
          <o:OLEObject Type="Embed" ProgID="Equation.3" ShapeID="_x0000_i1032" DrawAspect="Content" ObjectID="_1570299294" r:id="rId19"/>
        </w:object>
      </w:r>
      <w:r w:rsidRPr="00615412">
        <w:rPr>
          <w:lang w:val="nl-NL"/>
        </w:rPr>
        <w:t xml:space="preserve"> en </w:t>
      </w:r>
      <w:r w:rsidRPr="00C71845">
        <w:rPr>
          <w:position w:val="-6"/>
        </w:rPr>
        <w:object w:dxaOrig="440" w:dyaOrig="380">
          <v:shape id="_x0000_i1033" type="#_x0000_t75" style="width:21.75pt;height:18.75pt" o:ole="">
            <v:imagedata r:id="rId11" o:title=""/>
          </v:shape>
          <o:OLEObject Type="Embed" ProgID="Equation.3" ShapeID="_x0000_i1033" DrawAspect="Content" ObjectID="_1570299295" r:id="rId20"/>
        </w:object>
      </w:r>
      <w:r w:rsidRPr="00615412">
        <w:rPr>
          <w:lang w:val="nl-NL"/>
        </w:rPr>
        <w:t xml:space="preserve"> uit in </w:t>
      </w:r>
      <w:r w:rsidRPr="00615412">
        <w:rPr>
          <w:rStyle w:val="OpmaakprofielVraagCursiefChar"/>
          <w:rFonts w:eastAsiaTheme="minorEastAsia"/>
          <w:lang w:val="nl-NL"/>
        </w:rPr>
        <w:t>x</w:t>
      </w:r>
      <w:r w:rsidRPr="00615412">
        <w:rPr>
          <w:iCs/>
          <w:lang w:val="nl-NL"/>
        </w:rPr>
        <w:t>.</w:t>
      </w:r>
    </w:p>
    <w:p w:rsidR="00615412" w:rsidRPr="00D62E83" w:rsidRDefault="00615412" w:rsidP="00615412">
      <w:r w:rsidRPr="00D62E83">
        <w:t xml:space="preserve">De verschillen tussen de </w:t>
      </w:r>
      <w:r w:rsidRPr="00D62E83">
        <w:rPr>
          <w:i/>
        </w:rPr>
        <w:t>p</w:t>
      </w:r>
      <w:r w:rsidRPr="00D62E83">
        <w:t>-waarden van de natriumhalogeniden en de overeenkomstige lithiumhalogeniden lopen sterk uiteen.</w:t>
      </w:r>
    </w:p>
    <w:p w:rsidR="00615412" w:rsidRPr="00D62E83" w:rsidRDefault="00615412" w:rsidP="00615412">
      <w:r w:rsidRPr="00D62E83">
        <w:t xml:space="preserve">Als we aannemen dat ionen harde bollen zijn met een straal die niet afhankelijk is van de verbinding waarin ze voorkomen, moeten we voor een aantal lithiumverbindingen aannemen dat </w:t>
      </w:r>
      <w:r w:rsidRPr="00D62E83">
        <w:rPr>
          <w:i/>
          <w:iCs/>
        </w:rPr>
        <w:t>p</w:t>
      </w:r>
      <w:r w:rsidRPr="00D62E83">
        <w:rPr>
          <w:iCs/>
        </w:rPr>
        <w:t xml:space="preserve"> </w:t>
      </w:r>
      <w:r w:rsidRPr="00D62E83">
        <w:t>groter is dan de som van de ionstralen.</w:t>
      </w:r>
    </w:p>
    <w:p w:rsidR="00615412" w:rsidRPr="00D62E83" w:rsidRDefault="00615412" w:rsidP="00615412">
      <w:r w:rsidRPr="00D62E83">
        <w:t>We kunnen veronderstellen dat in bijvoorbeeld lithiumjodide de positieve ionen zoveel kleiner zijn dan de negatieve ionen, dat negatieve ionen elkaar raken.</w:t>
      </w:r>
    </w:p>
    <w:p w:rsidR="00615412" w:rsidRPr="00615412" w:rsidRDefault="00615412" w:rsidP="00615412">
      <w:pPr>
        <w:pStyle w:val="CSElijst"/>
        <w:numPr>
          <w:ilvl w:val="0"/>
          <w:numId w:val="7"/>
        </w:numPr>
        <w:ind w:left="0" w:hanging="567"/>
        <w:rPr>
          <w:lang w:val="nl-NL"/>
        </w:rPr>
      </w:pPr>
      <w:r w:rsidRPr="00615412">
        <w:rPr>
          <w:lang w:val="nl-NL"/>
        </w:rPr>
        <w:t xml:space="preserve">Geef deze situatie weer in een tekening, analoog aan het voorvlak van figuur 1. Welk verband bestaat er dan tussen </w:t>
      </w:r>
      <w:r w:rsidRPr="00615412">
        <w:rPr>
          <w:rStyle w:val="OpmaakprofielVraagCursiefChar"/>
          <w:rFonts w:eastAsiaTheme="minorEastAsia"/>
          <w:lang w:val="nl-NL"/>
        </w:rPr>
        <w:t>p</w:t>
      </w:r>
      <w:r w:rsidRPr="00615412">
        <w:rPr>
          <w:iCs/>
          <w:lang w:val="nl-NL"/>
        </w:rPr>
        <w:t xml:space="preserve"> </w:t>
      </w:r>
      <w:r w:rsidRPr="00615412">
        <w:rPr>
          <w:lang w:val="nl-NL"/>
        </w:rPr>
        <w:t>en de straal van het negatieve ion?</w:t>
      </w:r>
    </w:p>
    <w:p w:rsidR="00615412" w:rsidRPr="00D62E83" w:rsidRDefault="00615412" w:rsidP="00615412">
      <w:pPr>
        <w:pStyle w:val="CSElijst"/>
        <w:numPr>
          <w:ilvl w:val="0"/>
          <w:numId w:val="7"/>
        </w:numPr>
        <w:ind w:left="0" w:hanging="567"/>
      </w:pPr>
      <w:r w:rsidRPr="00D62E83">
        <w:t xml:space="preserve">Bereken </w:t>
      </w:r>
      <w:r w:rsidRPr="00DE2809">
        <w:rPr>
          <w:position w:val="-12"/>
        </w:rPr>
        <w:object w:dxaOrig="320" w:dyaOrig="380">
          <v:shape id="_x0000_i1034" type="#_x0000_t75" style="width:15pt;height:18.75pt" o:ole="">
            <v:imagedata r:id="rId21" o:title=""/>
          </v:shape>
          <o:OLEObject Type="Embed" ProgID="Equation.3" ShapeID="_x0000_i1034" DrawAspect="Content" ObjectID="_1570299296" r:id="rId22"/>
        </w:object>
      </w:r>
      <w:r w:rsidRPr="00D62E83">
        <w:rPr>
          <w:iCs/>
        </w:rPr>
        <w:t xml:space="preserve"> </w:t>
      </w:r>
      <w:r w:rsidRPr="00D62E83">
        <w:t xml:space="preserve">en ook </w:t>
      </w:r>
      <w:r w:rsidRPr="00DE2809">
        <w:rPr>
          <w:position w:val="-12"/>
        </w:rPr>
        <w:object w:dxaOrig="480" w:dyaOrig="380">
          <v:shape id="_x0000_i1035" type="#_x0000_t75" style="width:24pt;height:18.75pt" o:ole="">
            <v:imagedata r:id="rId9" o:title=""/>
          </v:shape>
          <o:OLEObject Type="Embed" ProgID="Equation.3" ShapeID="_x0000_i1035" DrawAspect="Content" ObjectID="_1570299297" r:id="rId23"/>
        </w:object>
      </w:r>
      <w:r w:rsidRPr="00D62E83">
        <w:t xml:space="preserve"> en </w:t>
      </w:r>
      <w:r w:rsidRPr="00761339">
        <w:rPr>
          <w:position w:val="-12"/>
        </w:rPr>
        <w:object w:dxaOrig="440" w:dyaOrig="380">
          <v:shape id="_x0000_i1036" type="#_x0000_t75" style="width:21.75pt;height:18.75pt" o:ole="">
            <v:imagedata r:id="rId11" o:title=""/>
          </v:shape>
          <o:OLEObject Type="Embed" ProgID="Equation.3" ShapeID="_x0000_i1036" DrawAspect="Content" ObjectID="_1570299298" r:id="rId24"/>
        </w:object>
      </w:r>
    </w:p>
    <w:bookmarkStart w:id="11" w:name="_Toc189575752"/>
    <w:bookmarkStart w:id="12" w:name="_Toc490827209"/>
    <w:p w:rsidR="00615412" w:rsidRDefault="00615412" w:rsidP="00615412">
      <w:pPr>
        <w:pStyle w:val="Kop2"/>
      </w:pPr>
      <w:r w:rsidRPr="0018005E">
        <w:rPr>
          <w:noProof/>
        </w:rPr>
        <mc:AlternateContent>
          <mc:Choice Requires="wps">
            <w:drawing>
              <wp:anchor distT="0" distB="0" distL="0" distR="0" simplePos="0" relativeHeight="251663360" behindDoc="0" locked="0" layoutInCell="0" allowOverlap="1" wp14:anchorId="0E1872C8" wp14:editId="5AF819E1">
                <wp:simplePos x="0" y="0"/>
                <wp:positionH relativeFrom="margin">
                  <wp:align>center</wp:align>
                </wp:positionH>
                <wp:positionV relativeFrom="paragraph">
                  <wp:posOffset>318135</wp:posOffset>
                </wp:positionV>
                <wp:extent cx="6172835" cy="0"/>
                <wp:effectExtent l="0" t="19050" r="56515" b="38100"/>
                <wp:wrapSquare wrapText="bothSides"/>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5051C"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05pt" to="486.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z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UnO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" o:allowincell="f" strokecolor="silver" strokeweight="4.8pt">
                <w10:wrap type="square" anchorx="margin"/>
              </v:line>
            </w:pict>
          </mc:Fallback>
        </mc:AlternateContent>
      </w:r>
      <w:r w:rsidRPr="00D62E83">
        <w:t>Dichromaat en katalyse</w:t>
      </w:r>
      <w:r>
        <w:tab/>
      </w:r>
      <w:r w:rsidRPr="00D62E83">
        <w:t>1977-I(IV)</w:t>
      </w:r>
      <w:bookmarkEnd w:id="11"/>
      <w:bookmarkEnd w:id="12"/>
    </w:p>
    <w:p w:rsidR="00615412" w:rsidRPr="00D62E83" w:rsidRDefault="00615412" w:rsidP="00615412">
      <w:r w:rsidRPr="00D62E83">
        <w:t>Een oplossing van kaliumdichromaat, K</w:t>
      </w:r>
      <w:r w:rsidRPr="00D62E83">
        <w:rPr>
          <w:vertAlign w:val="subscript"/>
        </w:rPr>
        <w:t>2</w:t>
      </w:r>
      <w:r w:rsidRPr="00D62E83">
        <w:t>Cr</w:t>
      </w:r>
      <w:r w:rsidRPr="00D62E83">
        <w:rPr>
          <w:vertAlign w:val="subscript"/>
        </w:rPr>
        <w:t>2</w:t>
      </w:r>
      <w:r w:rsidRPr="00D62E83">
        <w:t>O</w:t>
      </w:r>
      <w:r w:rsidRPr="00D62E83">
        <w:rPr>
          <w:vertAlign w:val="subscript"/>
        </w:rPr>
        <w:t>7</w:t>
      </w:r>
      <w:r w:rsidRPr="00D62E83">
        <w:t xml:space="preserve">, in water is oranje. Wanneer men een op </w:t>
      </w:r>
      <w:r w:rsidRPr="00D62E83">
        <w:rPr>
          <w:iCs/>
        </w:rPr>
        <w:t xml:space="preserve">pH </w:t>
      </w:r>
      <w:r w:rsidRPr="00D62E83">
        <w:t>= 5 gebufferde</w:t>
      </w:r>
      <w:r w:rsidRPr="00D62E83">
        <w:rPr>
          <w:rStyle w:val="Voetnootmarkering"/>
        </w:rPr>
        <w:footnoteReference w:id="2"/>
      </w:r>
      <w:r w:rsidRPr="00D62E83">
        <w:t xml:space="preserve"> oplossing van kaliumdichromaat mengt met een kaliumjodideoplossing, verandert de kleur zeer langzaam naar bruin. Men schrijft deze kleurverandering toe aan een redoxreactie, waarbij dichromaationen door jodide-ionen worden gereduceerd. Pas na enkele uren kunnen in het reactiemengsel jood en Cr</w:t>
      </w:r>
      <w:r w:rsidRPr="00D62E83">
        <w:rPr>
          <w:vertAlign w:val="superscript"/>
        </w:rPr>
        <w:t>3+</w:t>
      </w:r>
      <w:r w:rsidRPr="00D62E83">
        <w:t xml:space="preserve"> worden aangetoond.</w:t>
      </w:r>
    </w:p>
    <w:p w:rsidR="00615412" w:rsidRPr="00615412" w:rsidRDefault="00615412" w:rsidP="00615412">
      <w:pPr>
        <w:pStyle w:val="CSElijst"/>
        <w:numPr>
          <w:ilvl w:val="0"/>
          <w:numId w:val="7"/>
        </w:numPr>
        <w:ind w:left="0" w:hanging="567"/>
        <w:rPr>
          <w:lang w:val="nl-NL"/>
        </w:rPr>
      </w:pPr>
      <w:r w:rsidRPr="00615412">
        <w:rPr>
          <w:lang w:val="nl-NL"/>
        </w:rPr>
        <w:t>Geef deze redoxreactie in vergelijking(en) weer.</w:t>
      </w:r>
    </w:p>
    <w:p w:rsidR="00615412" w:rsidRPr="00D62E83" w:rsidRDefault="00615412" w:rsidP="00615412">
      <w:r w:rsidRPr="00D62E83">
        <w:t>Wanneer men echter direct na het toevoegen van de kaliumjodideoplossing een weinig ijzer(II)sulfaatoplossing toevoegt, vindt de kleurverandering veel sneller plaats.</w:t>
      </w:r>
    </w:p>
    <w:p w:rsidR="00615412" w:rsidRPr="00D62E83" w:rsidRDefault="00615412" w:rsidP="00615412">
      <w:r w:rsidRPr="00D62E83">
        <w:lastRenderedPageBreak/>
        <w:t>Direct nadat de ijzer(II)sulfaatoplossing is toegevoegd, kan men in het reactie mengsel niet alleen Cr</w:t>
      </w:r>
      <w:r w:rsidRPr="00D62E83">
        <w:rPr>
          <w:vertAlign w:val="superscript"/>
        </w:rPr>
        <w:t>3+</w:t>
      </w:r>
      <w:r w:rsidRPr="00D62E83">
        <w:t xml:space="preserve"> en Fe</w:t>
      </w:r>
      <w:r w:rsidRPr="00D62E83">
        <w:rPr>
          <w:vertAlign w:val="superscript"/>
        </w:rPr>
        <w:t>3+</w:t>
      </w:r>
      <w:r w:rsidRPr="00D62E83">
        <w:t>, maar ook jood aantonen.</w:t>
      </w:r>
    </w:p>
    <w:p w:rsidR="00615412" w:rsidRPr="00D62E83" w:rsidRDefault="00615412" w:rsidP="00615412">
      <w:r w:rsidRPr="00D62E83">
        <w:t>Men kan verschillende verklaringen bedenken voor het verschijnsel dat jood veel sneller wordt gevormd wanneer men ijzer(II)sulfaatoplossing toevoegt. Twee van dergelijke verklaringen worden hieronder gegeven.</w:t>
      </w:r>
    </w:p>
    <w:p w:rsidR="00615412" w:rsidRPr="00C71845" w:rsidRDefault="00615412" w:rsidP="00615412">
      <w:pPr>
        <w:pStyle w:val="Bijschrift"/>
      </w:pPr>
      <w:r w:rsidRPr="00C71845">
        <w:t>EERSTE VERKLARING</w:t>
      </w:r>
    </w:p>
    <w:p w:rsidR="00615412" w:rsidRPr="00D62E83" w:rsidRDefault="00615412" w:rsidP="00615412">
      <w:r w:rsidRPr="00D62E83">
        <w:t>Men neemt aan dat ijzer(II)ionen door dichromaationen zeer snel worden geoxideerd tot ijzer(III)ionen die vervolgens - eveneens snel - de jodide-ionen oxideren tot joodmoleculen.</w:t>
      </w:r>
    </w:p>
    <w:p w:rsidR="00615412" w:rsidRPr="00615412" w:rsidRDefault="00615412" w:rsidP="00615412">
      <w:pPr>
        <w:pStyle w:val="CSElijst"/>
        <w:numPr>
          <w:ilvl w:val="0"/>
          <w:numId w:val="7"/>
        </w:numPr>
        <w:ind w:left="0" w:hanging="567"/>
        <w:rPr>
          <w:lang w:val="nl-NL"/>
        </w:rPr>
      </w:pPr>
      <w:r w:rsidRPr="00615412">
        <w:rPr>
          <w:lang w:val="nl-NL"/>
        </w:rPr>
        <w:t>Geef de vergelijkingen voor de reacties bedoeld in deze verklaring.</w:t>
      </w:r>
    </w:p>
    <w:p w:rsidR="00615412" w:rsidRPr="00D62E83" w:rsidRDefault="00615412" w:rsidP="00615412">
      <w:pPr>
        <w:pStyle w:val="Bijschrift"/>
      </w:pPr>
      <w:r w:rsidRPr="00D62E83">
        <w:t>TWEEDE VERKLARING</w:t>
      </w:r>
    </w:p>
    <w:p w:rsidR="00615412" w:rsidRPr="00D62E83" w:rsidRDefault="00615412" w:rsidP="00615412">
      <w:r w:rsidRPr="00D62E83">
        <w:t xml:space="preserve">Men neemt aan dat de reductie van dichromaationen tot chroom(III)ionen altijd in twee stappen verloopt. In de eerste stap </w:t>
      </w:r>
      <w:r w:rsidRPr="00D62E83">
        <w:sym w:font="Symbol" w:char="F02D"/>
      </w:r>
      <w:r w:rsidRPr="00D62E83">
        <w:t>zo veronderstelt men</w:t>
      </w:r>
      <w:r w:rsidRPr="00D62E83">
        <w:sym w:font="Symbol" w:char="F02D"/>
      </w:r>
      <w:r w:rsidRPr="00D62E83">
        <w:t xml:space="preserve"> worden ionen met de formule CrO</w:t>
      </w:r>
      <w:r w:rsidRPr="00D62E83">
        <w:rPr>
          <w:vertAlign w:val="subscript"/>
        </w:rPr>
        <w:t>3</w:t>
      </w:r>
      <w:r w:rsidRPr="00D62E83">
        <w:rPr>
          <w:vertAlign w:val="superscript"/>
        </w:rPr>
        <w:sym w:font="Symbol" w:char="F02D"/>
      </w:r>
      <w:r w:rsidRPr="00D62E83">
        <w:t xml:space="preserve"> gevormd, die dan in de tweede stap verder worden gereduceerd tot chroom(III)ionen. De eerste stap, de omzetting van Cr</w:t>
      </w:r>
      <w:r w:rsidRPr="00D62E83">
        <w:rPr>
          <w:vertAlign w:val="subscript"/>
        </w:rPr>
        <w:t>2</w:t>
      </w:r>
      <w:r w:rsidRPr="00D62E83">
        <w:t>O</w:t>
      </w:r>
      <w:r w:rsidRPr="00D62E83">
        <w:rPr>
          <w:vertAlign w:val="subscript"/>
        </w:rPr>
        <w:t>7</w:t>
      </w:r>
      <w:r w:rsidRPr="00D62E83">
        <w:rPr>
          <w:vertAlign w:val="superscript"/>
        </w:rPr>
        <w:t>2</w:t>
      </w:r>
      <w:r w:rsidRPr="00D62E83">
        <w:rPr>
          <w:vertAlign w:val="superscript"/>
        </w:rPr>
        <w:sym w:font="Symbol" w:char="F02D"/>
      </w:r>
      <w:r w:rsidRPr="00D62E83">
        <w:t xml:space="preserve"> in CrO</w:t>
      </w:r>
      <w:r w:rsidRPr="00D62E83">
        <w:rPr>
          <w:vertAlign w:val="subscript"/>
        </w:rPr>
        <w:t>3</w:t>
      </w:r>
      <w:r w:rsidRPr="00D62E83">
        <w:rPr>
          <w:vertAlign w:val="superscript"/>
        </w:rPr>
        <w:sym w:font="Symbol" w:char="F02D"/>
      </w:r>
      <w:r w:rsidRPr="00D62E83">
        <w:t>, verloopt met Fe</w:t>
      </w:r>
      <w:r w:rsidRPr="00D62E83">
        <w:rPr>
          <w:vertAlign w:val="superscript"/>
        </w:rPr>
        <w:t>2+</w:t>
      </w:r>
      <w:r w:rsidRPr="00D62E83">
        <w:t xml:space="preserve"> als reductor zeer snel en met I</w:t>
      </w:r>
      <w:r w:rsidRPr="00D62E83">
        <w:rPr>
          <w:vertAlign w:val="superscript"/>
        </w:rPr>
        <w:sym w:font="Symbol" w:char="F02D"/>
      </w:r>
      <w:r w:rsidRPr="00D62E83">
        <w:t xml:space="preserve"> als reductor zeer langzaam. De tweede stap daarentegen verloopt met I</w:t>
      </w:r>
      <w:r w:rsidRPr="00D62E83">
        <w:rPr>
          <w:vertAlign w:val="superscript"/>
        </w:rPr>
        <w:sym w:font="Symbol" w:char="F02D"/>
      </w:r>
      <w:r w:rsidRPr="00D62E83">
        <w:t xml:space="preserve"> als reductor veel sneller dan met Fe</w:t>
      </w:r>
      <w:r w:rsidRPr="00D62E83">
        <w:rPr>
          <w:vertAlign w:val="superscript"/>
        </w:rPr>
        <w:t>2+</w:t>
      </w:r>
      <w:r w:rsidRPr="00D62E83">
        <w:t xml:space="preserve"> als reductor.</w:t>
      </w:r>
    </w:p>
    <w:p w:rsidR="00615412" w:rsidRPr="00615412" w:rsidRDefault="00615412" w:rsidP="00615412">
      <w:pPr>
        <w:pStyle w:val="CSElijst"/>
        <w:numPr>
          <w:ilvl w:val="0"/>
          <w:numId w:val="7"/>
        </w:numPr>
        <w:ind w:left="0" w:hanging="567"/>
        <w:rPr>
          <w:lang w:val="nl-NL"/>
        </w:rPr>
      </w:pPr>
      <w:r w:rsidRPr="00615412">
        <w:rPr>
          <w:lang w:val="nl-NL"/>
        </w:rPr>
        <w:t>Geef de vergelijkingen voor de twee reacties die volgens de tweede verklaring samen de snelle kleurverandering veroorzaken.</w:t>
      </w:r>
    </w:p>
    <w:p w:rsidR="00615412" w:rsidRPr="00D62E83" w:rsidRDefault="00615412" w:rsidP="00615412">
      <w:r w:rsidRPr="00D62E83">
        <w:t>Om de twee verklaringen te toetsen voert men enkele aanvullende proeven uit:</w:t>
      </w:r>
    </w:p>
    <w:p w:rsidR="00615412" w:rsidRPr="00D62E83" w:rsidRDefault="00615412" w:rsidP="00615412">
      <w:r w:rsidRPr="00C71845">
        <w:rPr>
          <w:b/>
          <w:sz w:val="18"/>
        </w:rPr>
        <w:t>Proef 1.</w:t>
      </w:r>
      <w:r w:rsidRPr="00D62E83">
        <w:t xml:space="preserve"> Men voegt wat ijzer(II)sulfaatoplossing toe aan een kaliumdichromaatoplossing. Er treedt een snelle reactie op en direct na het toevoegen kunnen in het reactie mengsel Cr</w:t>
      </w:r>
      <w:r w:rsidRPr="00D62E83">
        <w:rPr>
          <w:vertAlign w:val="superscript"/>
        </w:rPr>
        <w:t>3+</w:t>
      </w:r>
      <w:r w:rsidRPr="00D62E83">
        <w:t xml:space="preserve"> en Fe</w:t>
      </w:r>
      <w:r w:rsidRPr="00D62E83">
        <w:rPr>
          <w:vertAlign w:val="superscript"/>
        </w:rPr>
        <w:t>3+</w:t>
      </w:r>
      <w:r w:rsidRPr="00D62E83">
        <w:t xml:space="preserve"> worden aangetoond.</w:t>
      </w:r>
    </w:p>
    <w:p w:rsidR="00615412" w:rsidRPr="00D62E83" w:rsidRDefault="00615412" w:rsidP="00615412">
      <w:r w:rsidRPr="00C71845">
        <w:rPr>
          <w:b/>
          <w:sz w:val="18"/>
        </w:rPr>
        <w:t>Proef 2.</w:t>
      </w:r>
      <w:r w:rsidRPr="00D62E83">
        <w:t xml:space="preserve"> Men voegt een oplossing van ijzer(III)sulfaat bij een kaliumjodideoplossing. Na geruime tijd kan in het reactiemengsel nog geen jood worden aangetoond.</w:t>
      </w:r>
    </w:p>
    <w:p w:rsidR="00615412" w:rsidRPr="00D62E83" w:rsidRDefault="00615412" w:rsidP="00615412">
      <w:r w:rsidRPr="00C71845">
        <w:rPr>
          <w:b/>
          <w:sz w:val="18"/>
        </w:rPr>
        <w:t>Proef 3.</w:t>
      </w:r>
      <w:r w:rsidRPr="00D62E83">
        <w:t xml:space="preserve"> De proef waarbij ijzer(II)sulfaatoplossing wordt gevoegd bij een oplossing van kaliumdichromaat en kaliumjodide wordt enkele malen herhaald. Hierbij neemt men telkens verschillende hoeveelheden ijzer(II)sulfaat, kaliumdichromaat en kaliumjodide.</w:t>
      </w:r>
      <w:r w:rsidRPr="00D62E83">
        <w:br/>
        <w:t>Bij elk van deze proeven voert men direct na het toevoegen van de ijzer(II)sulfaatoplossing een kwantitatieve analyse uit waarbij de hoeveelheden Fe</w:t>
      </w:r>
      <w:r w:rsidRPr="00D62E83">
        <w:rPr>
          <w:vertAlign w:val="superscript"/>
        </w:rPr>
        <w:t>3+</w:t>
      </w:r>
      <w:r w:rsidRPr="00D62E83">
        <w:t xml:space="preserve"> en jood worden bepaald. Telkens blijkt het aantal mol jood ongeveer gelijk te zijn aan het aantal mol Fe</w:t>
      </w:r>
      <w:r w:rsidRPr="00D62E83">
        <w:rPr>
          <w:vertAlign w:val="superscript"/>
        </w:rPr>
        <w:t>3+</w:t>
      </w:r>
      <w:r w:rsidRPr="00D62E83">
        <w:t xml:space="preserve"> of kleiner. Met andere woorden: bij geen van de proeven vindt men belangrijk meer mol jood dan mol Fe</w:t>
      </w:r>
      <w:r w:rsidRPr="00D62E83">
        <w:rPr>
          <w:vertAlign w:val="superscript"/>
        </w:rPr>
        <w:t>3+</w:t>
      </w:r>
      <w:r w:rsidRPr="00D62E83">
        <w:t>.</w:t>
      </w:r>
    </w:p>
    <w:p w:rsidR="00615412" w:rsidRPr="00D62E83" w:rsidRDefault="00615412" w:rsidP="00615412">
      <w:pPr>
        <w:pStyle w:val="CSElijst"/>
        <w:numPr>
          <w:ilvl w:val="0"/>
          <w:numId w:val="7"/>
        </w:numPr>
        <w:ind w:left="0" w:hanging="567"/>
      </w:pPr>
      <w:r w:rsidRPr="00615412">
        <w:rPr>
          <w:lang w:val="nl-NL"/>
        </w:rPr>
        <w:t xml:space="preserve">Kun je op grond van de resultaten van proef 1 of proef 2 de eerste verklaring verwerpen? </w:t>
      </w:r>
      <w:r w:rsidRPr="00D62E83">
        <w:t>Licht je antwoord toe.</w:t>
      </w:r>
    </w:p>
    <w:p w:rsidR="00615412" w:rsidRPr="00D62E83" w:rsidRDefault="00615412" w:rsidP="00615412">
      <w:pPr>
        <w:pStyle w:val="CSElijst"/>
        <w:numPr>
          <w:ilvl w:val="0"/>
          <w:numId w:val="7"/>
        </w:numPr>
        <w:ind w:left="0" w:hanging="567"/>
      </w:pPr>
      <w:r w:rsidRPr="00615412">
        <w:rPr>
          <w:lang w:val="nl-NL"/>
        </w:rPr>
        <w:t xml:space="preserve">Zijn de resultaten van de kwantitatieve analyses bij proef </w:t>
      </w:r>
      <w:smartTag w:uri="urn:schemas-microsoft-com:office:smarttags" w:element="metricconverter">
        <w:smartTagPr>
          <w:attr w:name="ProductID" w:val="3 in"/>
        </w:smartTagPr>
        <w:r w:rsidRPr="00615412">
          <w:rPr>
            <w:lang w:val="nl-NL"/>
          </w:rPr>
          <w:t>3 in</w:t>
        </w:r>
      </w:smartTag>
      <w:r w:rsidRPr="00615412">
        <w:rPr>
          <w:lang w:val="nl-NL"/>
        </w:rPr>
        <w:t xml:space="preserve"> overeenstemming met de eerste verklaring? </w:t>
      </w:r>
      <w:r w:rsidRPr="00D62E83">
        <w:t>Motiveer je antwoord.</w:t>
      </w:r>
    </w:p>
    <w:p w:rsidR="00BC18B7" w:rsidRDefault="00615412" w:rsidP="0045369A">
      <w:pPr>
        <w:pStyle w:val="CSElijst"/>
        <w:numPr>
          <w:ilvl w:val="0"/>
          <w:numId w:val="7"/>
        </w:numPr>
        <w:ind w:left="0" w:hanging="567"/>
      </w:pPr>
      <w:r w:rsidRPr="00615412">
        <w:rPr>
          <w:lang w:val="nl-NL"/>
        </w:rPr>
        <w:t xml:space="preserve">Zijn de resultaten van de kwantitatieve analyses bij proef </w:t>
      </w:r>
      <w:smartTag w:uri="urn:schemas-microsoft-com:office:smarttags" w:element="metricconverter">
        <w:smartTagPr>
          <w:attr w:name="ProductID" w:val="3 in"/>
        </w:smartTagPr>
        <w:r w:rsidRPr="00615412">
          <w:rPr>
            <w:lang w:val="nl-NL"/>
          </w:rPr>
          <w:t>3 in</w:t>
        </w:r>
      </w:smartTag>
      <w:r w:rsidRPr="00615412">
        <w:rPr>
          <w:lang w:val="nl-NL"/>
        </w:rPr>
        <w:t xml:space="preserve"> overeenstemming met de tweede verklaring? </w:t>
      </w:r>
      <w:r>
        <w:t>Motiveer je antwoord</w:t>
      </w:r>
    </w:p>
    <w:sectPr w:rsidR="00BC18B7" w:rsidSect="00146FC3">
      <w:headerReference w:type="even" r:id="rId25"/>
      <w:headerReference w:type="default" r:id="rId26"/>
      <w:footerReference w:type="even" r:id="rId27"/>
      <w:footerReference w:type="default" r:id="rId28"/>
      <w:headerReference w:type="first" r:id="rId29"/>
      <w:footerReference w:type="first" r:id="rId3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01A" w:rsidRDefault="00D8401A" w:rsidP="00615412">
      <w:r>
        <w:separator/>
      </w:r>
    </w:p>
  </w:endnote>
  <w:endnote w:type="continuationSeparator" w:id="0">
    <w:p w:rsidR="00D8401A" w:rsidRDefault="00D8401A" w:rsidP="0061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69A" w:rsidRDefault="004536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928067"/>
      <w:docPartObj>
        <w:docPartGallery w:val="Page Numbers (Bottom of Page)"/>
        <w:docPartUnique/>
      </w:docPartObj>
    </w:sdtPr>
    <w:sdtEndPr/>
    <w:sdtContent>
      <w:p w:rsidR="00146FC3" w:rsidRPr="009F1C49" w:rsidRDefault="00146FC3">
        <w:pPr>
          <w:pStyle w:val="Voettekst"/>
          <w:rPr>
            <w:lang w:val="en-US"/>
          </w:rPr>
        </w:pPr>
        <w:r w:rsidRPr="003C6A6E">
          <w:rPr>
            <w:lang w:val="en-US"/>
          </w:rPr>
          <w:t>Sk-VWO 19</w:t>
        </w:r>
        <w:r>
          <w:rPr>
            <w:lang w:val="en-US"/>
          </w:rPr>
          <w:t>77</w:t>
        </w:r>
        <w:r w:rsidRPr="003C6A6E">
          <w:rPr>
            <w:lang w:val="en-US"/>
          </w:rPr>
          <w:t>-I</w:t>
        </w:r>
        <w:r w:rsidRPr="00D076A7">
          <w:t> </w:t>
        </w:r>
        <w:r w:rsidR="0045369A">
          <w:rPr>
            <w:lang w:val="en-US"/>
          </w:rPr>
          <w:t>opgaven</w:t>
        </w:r>
        <w:bookmarkStart w:id="13" w:name="_GoBack"/>
        <w:bookmarkEnd w:id="13"/>
        <w:r w:rsidRPr="003C6A6E">
          <w:rPr>
            <w:lang w:val="en-US"/>
          </w:rPr>
          <w:t>_PdG, juli 2017</w:t>
        </w:r>
        <w:r>
          <w:rPr>
            <w:lang w:val="en-US"/>
          </w:rPr>
          <w:tab/>
        </w:r>
        <w:r>
          <w:fldChar w:fldCharType="begin"/>
        </w:r>
        <w:r w:rsidRPr="002953DD">
          <w:rPr>
            <w:lang w:val="en-US"/>
          </w:rPr>
          <w:instrText>PAGE   \* MERGEFORMAT</w:instrText>
        </w:r>
        <w:r>
          <w:fldChar w:fldCharType="separate"/>
        </w:r>
        <w:r>
          <w:rPr>
            <w:noProof/>
            <w:lang w:val="en-US"/>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69A" w:rsidRDefault="004536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01A" w:rsidRDefault="00D8401A" w:rsidP="00615412">
      <w:r>
        <w:separator/>
      </w:r>
    </w:p>
  </w:footnote>
  <w:footnote w:type="continuationSeparator" w:id="0">
    <w:p w:rsidR="00D8401A" w:rsidRDefault="00D8401A" w:rsidP="00615412">
      <w:r>
        <w:continuationSeparator/>
      </w:r>
    </w:p>
  </w:footnote>
  <w:footnote w:id="1">
    <w:p w:rsidR="00615412" w:rsidRPr="006A2310" w:rsidRDefault="00615412" w:rsidP="00615412">
      <w:r w:rsidRPr="00E91128">
        <w:rPr>
          <w:rStyle w:val="Voetnootmarkering"/>
        </w:rPr>
        <w:footnoteRef/>
      </w:r>
      <w:r w:rsidRPr="006A2310">
        <w:t xml:space="preserve"> Onder een</w:t>
      </w:r>
      <w:r>
        <w:t xml:space="preserve"> 1</w:t>
      </w:r>
      <w:r w:rsidRPr="006A2310">
        <w:t xml:space="preserve"> molair oplossing verstaat men een oplossing waarin per liter 1 mol stof is opgelost.</w:t>
      </w:r>
    </w:p>
  </w:footnote>
  <w:footnote w:id="2">
    <w:p w:rsidR="00615412" w:rsidRPr="003F7A28" w:rsidRDefault="00615412" w:rsidP="00615412">
      <w:r w:rsidRPr="00E91128">
        <w:rPr>
          <w:rStyle w:val="Voetnootmarkering"/>
        </w:rPr>
        <w:footnoteRef/>
      </w:r>
      <w:r w:rsidRPr="003F7A28">
        <w:t xml:space="preserve"> Alle bij dit onderzoek beschreven reacties zijn uitgevoerd in verdunde oplossingen met </w:t>
      </w:r>
      <w:r w:rsidRPr="003F7A28">
        <w:rPr>
          <w:iCs/>
        </w:rPr>
        <w:t xml:space="preserve">pH </w:t>
      </w:r>
      <w:r w:rsidRPr="003F7A28">
        <w:t>= 5. De gebruikte bufferoplossing is zo samengesteld dat er - afgezien van de bufferwerking - bij geen van de proeven reacties zijn te verwachten met andere bestanddelen van de oplossingen.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69A" w:rsidRDefault="004536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69A" w:rsidRDefault="004536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69A" w:rsidRDefault="004536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4D8301E"/>
    <w:multiLevelType w:val="hybridMultilevel"/>
    <w:tmpl w:val="5E1E3EF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3982937"/>
    <w:multiLevelType w:val="hybridMultilevel"/>
    <w:tmpl w:val="5AB2D8DE"/>
    <w:lvl w:ilvl="0" w:tplc="D806134E">
      <w:start w:val="1"/>
      <w:numFmt w:val="lowerLetter"/>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11" w15:restartNumberingAfterBreak="0">
    <w:nsid w:val="5F8B14AE"/>
    <w:multiLevelType w:val="hybridMultilevel"/>
    <w:tmpl w:val="0C6CE540"/>
    <w:lvl w:ilvl="0" w:tplc="2876592D">
      <w:numFmt w:val="bullet"/>
      <w:lvlText w:val="-"/>
      <w:lvlJc w:val="left"/>
      <w:pPr>
        <w:ind w:left="720" w:hanging="360"/>
      </w:pPr>
      <w:rPr>
        <w:rFonts w:ascii="Symbol" w:hAnsi="Symbol" w:cs="Symbol"/>
        <w:snapToGrid/>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3"/>
  </w:num>
  <w:num w:numId="8">
    <w:abstractNumId w:val="13"/>
  </w:num>
  <w:num w:numId="9">
    <w:abstractNumId w:val="13"/>
  </w:num>
  <w:num w:numId="10">
    <w:abstractNumId w:val="13"/>
  </w:num>
  <w:num w:numId="11">
    <w:abstractNumId w:val="13"/>
  </w:num>
  <w:num w:numId="12">
    <w:abstractNumId w:val="3"/>
  </w:num>
  <w:num w:numId="13">
    <w:abstractNumId w:val="12"/>
  </w:num>
  <w:num w:numId="14">
    <w:abstractNumId w:val="3"/>
  </w:num>
  <w:num w:numId="15">
    <w:abstractNumId w:val="0"/>
  </w:num>
  <w:num w:numId="16">
    <w:abstractNumId w:val="9"/>
  </w:num>
  <w:num w:numId="17">
    <w:abstractNumId w:val="7"/>
  </w:num>
  <w:num w:numId="18">
    <w:abstractNumId w:val="11"/>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4"/>
  </w:num>
  <w:num w:numId="23">
    <w:abstractNumId w:val="8"/>
  </w:num>
  <w:num w:numId="24">
    <w:abstractNumId w:val="10"/>
  </w:num>
  <w:num w:numId="25">
    <w:abstractNumId w:val="13"/>
    <w:lvlOverride w:ilvl="0">
      <w:startOverride w:val="20"/>
    </w:lvlOverride>
  </w:num>
  <w:num w:numId="26">
    <w:abstractNumId w:val="13"/>
    <w:lvlOverride w:ilvl="0">
      <w:startOverride w:val="20"/>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12"/>
    <w:rsid w:val="000016CD"/>
    <w:rsid w:val="00095AFC"/>
    <w:rsid w:val="000C024B"/>
    <w:rsid w:val="00146FC3"/>
    <w:rsid w:val="002B24C5"/>
    <w:rsid w:val="00300992"/>
    <w:rsid w:val="00331832"/>
    <w:rsid w:val="0040277F"/>
    <w:rsid w:val="00407D6E"/>
    <w:rsid w:val="00443364"/>
    <w:rsid w:val="0045369A"/>
    <w:rsid w:val="004A0569"/>
    <w:rsid w:val="005B4D14"/>
    <w:rsid w:val="005D5EEF"/>
    <w:rsid w:val="00615412"/>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8401A"/>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
    <o:shapelayout v:ext="edit">
      <o:idmap v:ext="edit" data="1"/>
    </o:shapelayout>
  </w:shapeDefaults>
  <w:decimalSymbol w:val=","/>
  <w:listSeparator w:val=";"/>
  <w14:docId w14:val="536C585E"/>
  <w15:chartTrackingRefBased/>
  <w15:docId w15:val="{E04ECC5A-C17C-4001-A276-9C2671BD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5412"/>
  </w:style>
  <w:style w:type="paragraph" w:styleId="Kop1">
    <w:name w:val="heading 1"/>
    <w:basedOn w:val="Standaard"/>
    <w:next w:val="Standaard"/>
    <w:link w:val="Kop1Char"/>
    <w:uiPriority w:val="9"/>
    <w:qFormat/>
    <w:rsid w:val="00615412"/>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615412"/>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uiPriority w:val="9"/>
    <w:semiHidden/>
    <w:unhideWhenUsed/>
    <w:qFormat/>
    <w:rsid w:val="00615412"/>
    <w:pPr>
      <w:keepNext/>
      <w:keepLines/>
      <w:spacing w:before="200"/>
      <w:outlineLvl w:val="2"/>
    </w:pPr>
    <w:rPr>
      <w:rFonts w:asciiTheme="majorHAnsi" w:eastAsiaTheme="majorEastAsia" w:hAnsiTheme="majorHAnsi" w:cstheme="majorBidi"/>
      <w:b/>
      <w:bCs/>
      <w:color w:val="4472C4" w:themeColor="accent1"/>
      <w:szCs w:val="24"/>
      <w:lang w:eastAsia="nl-NL"/>
    </w:rPr>
  </w:style>
  <w:style w:type="paragraph" w:styleId="Kop4">
    <w:name w:val="heading 4"/>
    <w:basedOn w:val="Standaard"/>
    <w:next w:val="Standaard"/>
    <w:link w:val="Kop4Char"/>
    <w:uiPriority w:val="9"/>
    <w:semiHidden/>
    <w:unhideWhenUsed/>
    <w:qFormat/>
    <w:rsid w:val="0061541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615412"/>
    <w:rPr>
      <w:rFonts w:eastAsiaTheme="majorEastAsia"/>
      <w:sz w:val="32"/>
      <w:szCs w:val="32"/>
    </w:rPr>
  </w:style>
  <w:style w:type="character" w:customStyle="1" w:styleId="Kop2Char">
    <w:name w:val="Kop 2 Char"/>
    <w:basedOn w:val="Standaardalinea-lettertype"/>
    <w:link w:val="Kop2"/>
    <w:uiPriority w:val="9"/>
    <w:rsid w:val="00615412"/>
    <w:rPr>
      <w:rFonts w:ascii="Arial" w:eastAsia="Times New Roman" w:hAnsi="Arial" w:cs="Arial"/>
      <w:b/>
      <w:bCs/>
      <w:i/>
      <w:iCs/>
      <w:sz w:val="28"/>
      <w:szCs w:val="28"/>
      <w:lang w:eastAsia="nl-NL"/>
    </w:rPr>
  </w:style>
  <w:style w:type="character" w:customStyle="1" w:styleId="Kop3Char">
    <w:name w:val="Kop 3 Char"/>
    <w:basedOn w:val="Standaardalinea-lettertype"/>
    <w:link w:val="Kop3"/>
    <w:uiPriority w:val="9"/>
    <w:semiHidden/>
    <w:rsid w:val="00615412"/>
    <w:rPr>
      <w:rFonts w:asciiTheme="majorHAnsi" w:eastAsiaTheme="majorEastAsia" w:hAnsiTheme="majorHAnsi" w:cstheme="majorBidi"/>
      <w:b/>
      <w:bCs/>
      <w:color w:val="4472C4" w:themeColor="accent1"/>
      <w:szCs w:val="24"/>
      <w:lang w:eastAsia="nl-NL"/>
    </w:rPr>
  </w:style>
  <w:style w:type="character" w:customStyle="1" w:styleId="Kop4Char">
    <w:name w:val="Kop 4 Char"/>
    <w:basedOn w:val="Standaardalinea-lettertype"/>
    <w:link w:val="Kop4"/>
    <w:uiPriority w:val="9"/>
    <w:semiHidden/>
    <w:rsid w:val="00615412"/>
    <w:rPr>
      <w:rFonts w:asciiTheme="majorHAnsi" w:eastAsiaTheme="majorEastAsia" w:hAnsiTheme="majorHAnsi" w:cstheme="majorBidi"/>
      <w:i/>
      <w:iCs/>
      <w:color w:val="2F5496" w:themeColor="accent1" w:themeShade="BF"/>
    </w:rPr>
  </w:style>
  <w:style w:type="character" w:customStyle="1" w:styleId="StipChar">
    <w:name w:val="Stip Char"/>
    <w:basedOn w:val="Standaardalinea-lettertype"/>
    <w:link w:val="Stip"/>
    <w:rsid w:val="00615412"/>
  </w:style>
  <w:style w:type="character" w:customStyle="1" w:styleId="InterlinieChar">
    <w:name w:val="Interlinie Char"/>
    <w:basedOn w:val="Standaardalinea-lettertype"/>
    <w:link w:val="Interlinie"/>
    <w:rsid w:val="00615412"/>
  </w:style>
  <w:style w:type="character" w:styleId="Tekstvantijdelijkeaanduiding">
    <w:name w:val="Placeholder Text"/>
    <w:basedOn w:val="Standaardalinea-lettertype"/>
    <w:uiPriority w:val="99"/>
    <w:semiHidden/>
    <w:rsid w:val="00615412"/>
    <w:rPr>
      <w:color w:val="808080"/>
    </w:rPr>
  </w:style>
  <w:style w:type="paragraph" w:styleId="Voetnoottekst">
    <w:name w:val="footnote text"/>
    <w:basedOn w:val="Standaard"/>
    <w:link w:val="VoetnoottekstChar"/>
    <w:semiHidden/>
    <w:unhideWhenUsed/>
    <w:rsid w:val="00615412"/>
    <w:rPr>
      <w:sz w:val="20"/>
      <w:szCs w:val="20"/>
    </w:rPr>
  </w:style>
  <w:style w:type="character" w:customStyle="1" w:styleId="VoetnoottekstChar">
    <w:name w:val="Voetnoottekst Char"/>
    <w:basedOn w:val="Standaardalinea-lettertype"/>
    <w:link w:val="Voetnoottekst"/>
    <w:semiHidden/>
    <w:rsid w:val="00615412"/>
    <w:rPr>
      <w:sz w:val="20"/>
      <w:szCs w:val="20"/>
    </w:rPr>
  </w:style>
  <w:style w:type="character" w:styleId="Voetnootmarkering">
    <w:name w:val="footnote reference"/>
    <w:basedOn w:val="Standaardalinea-lettertype"/>
    <w:semiHidden/>
    <w:unhideWhenUsed/>
    <w:rsid w:val="00615412"/>
    <w:rPr>
      <w:vertAlign w:val="superscript"/>
    </w:rPr>
  </w:style>
  <w:style w:type="character" w:styleId="Verwijzingopmerking">
    <w:name w:val="annotation reference"/>
    <w:basedOn w:val="Standaardalinea-lettertype"/>
    <w:uiPriority w:val="99"/>
    <w:semiHidden/>
    <w:unhideWhenUsed/>
    <w:rsid w:val="00615412"/>
    <w:rPr>
      <w:sz w:val="16"/>
      <w:szCs w:val="16"/>
    </w:rPr>
  </w:style>
  <w:style w:type="paragraph" w:styleId="Tekstopmerking">
    <w:name w:val="annotation text"/>
    <w:basedOn w:val="Standaard"/>
    <w:link w:val="TekstopmerkingChar"/>
    <w:uiPriority w:val="99"/>
    <w:semiHidden/>
    <w:unhideWhenUsed/>
    <w:rsid w:val="00615412"/>
    <w:rPr>
      <w:sz w:val="20"/>
      <w:szCs w:val="20"/>
    </w:rPr>
  </w:style>
  <w:style w:type="character" w:customStyle="1" w:styleId="TekstopmerkingChar">
    <w:name w:val="Tekst opmerking Char"/>
    <w:basedOn w:val="Standaardalinea-lettertype"/>
    <w:link w:val="Tekstopmerking"/>
    <w:uiPriority w:val="99"/>
    <w:semiHidden/>
    <w:rsid w:val="00615412"/>
    <w:rPr>
      <w:sz w:val="20"/>
      <w:szCs w:val="20"/>
    </w:rPr>
  </w:style>
  <w:style w:type="paragraph" w:styleId="Onderwerpvanopmerking">
    <w:name w:val="annotation subject"/>
    <w:basedOn w:val="Tekstopmerking"/>
    <w:next w:val="Tekstopmerking"/>
    <w:link w:val="OnderwerpvanopmerkingChar"/>
    <w:uiPriority w:val="99"/>
    <w:semiHidden/>
    <w:unhideWhenUsed/>
    <w:rsid w:val="00615412"/>
    <w:rPr>
      <w:b/>
      <w:bCs/>
    </w:rPr>
  </w:style>
  <w:style w:type="character" w:customStyle="1" w:styleId="OnderwerpvanopmerkingChar">
    <w:name w:val="Onderwerp van opmerking Char"/>
    <w:basedOn w:val="TekstopmerkingChar"/>
    <w:link w:val="Onderwerpvanopmerking"/>
    <w:uiPriority w:val="99"/>
    <w:semiHidden/>
    <w:rsid w:val="00615412"/>
    <w:rPr>
      <w:b/>
      <w:bCs/>
      <w:sz w:val="20"/>
      <w:szCs w:val="20"/>
    </w:rPr>
  </w:style>
  <w:style w:type="paragraph" w:styleId="Koptekst">
    <w:name w:val="header"/>
    <w:basedOn w:val="Standaard"/>
    <w:link w:val="KoptekstChar"/>
    <w:uiPriority w:val="99"/>
    <w:unhideWhenUsed/>
    <w:rsid w:val="00615412"/>
    <w:pPr>
      <w:tabs>
        <w:tab w:val="center" w:pos="4536"/>
        <w:tab w:val="right" w:pos="9072"/>
      </w:tabs>
    </w:pPr>
  </w:style>
  <w:style w:type="character" w:customStyle="1" w:styleId="KoptekstChar">
    <w:name w:val="Koptekst Char"/>
    <w:basedOn w:val="Standaardalinea-lettertype"/>
    <w:link w:val="Koptekst"/>
    <w:uiPriority w:val="99"/>
    <w:rsid w:val="00615412"/>
  </w:style>
  <w:style w:type="table" w:styleId="Tabelraster">
    <w:name w:val="Table Grid"/>
    <w:basedOn w:val="Standaardtabel"/>
    <w:uiPriority w:val="39"/>
    <w:rsid w:val="0061541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VraagCursief">
    <w:name w:val="Opmaakprofiel Vraag + Cursief"/>
    <w:basedOn w:val="Standaard"/>
    <w:link w:val="OpmaakprofielVraagCursiefChar"/>
    <w:rsid w:val="00615412"/>
    <w:pPr>
      <w:tabs>
        <w:tab w:val="num" w:pos="-207"/>
      </w:tabs>
      <w:autoSpaceDE w:val="0"/>
      <w:autoSpaceDN w:val="0"/>
      <w:adjustRightInd w:val="0"/>
      <w:spacing w:before="120" w:after="120"/>
      <w:ind w:left="-207" w:hanging="360"/>
    </w:pPr>
    <w:rPr>
      <w:rFonts w:eastAsia="Times New Roman"/>
      <w:i/>
      <w:iCs/>
      <w:spacing w:val="4"/>
      <w:lang w:eastAsia="nl-NL"/>
    </w:rPr>
  </w:style>
  <w:style w:type="character" w:customStyle="1" w:styleId="OpmaakprofielVraagCursiefChar">
    <w:name w:val="Opmaakprofiel Vraag + Cursief Char"/>
    <w:basedOn w:val="Standaardalinea-lettertype"/>
    <w:link w:val="OpmaakprofielVraagCursief"/>
    <w:rsid w:val="00615412"/>
    <w:rPr>
      <w:rFonts w:eastAsia="Times New Roman"/>
      <w:i/>
      <w:iCs/>
      <w:spacing w:val="4"/>
      <w:lang w:eastAsia="nl-NL"/>
    </w:rPr>
  </w:style>
  <w:style w:type="paragraph" w:styleId="Bijschrift">
    <w:name w:val="caption"/>
    <w:basedOn w:val="Standaard"/>
    <w:next w:val="Standaard"/>
    <w:uiPriority w:val="35"/>
    <w:qFormat/>
    <w:rsid w:val="00615412"/>
    <w:pPr>
      <w:autoSpaceDE w:val="0"/>
      <w:autoSpaceDN w:val="0"/>
      <w:adjustRightInd w:val="0"/>
      <w:spacing w:before="120"/>
    </w:pPr>
    <w:rPr>
      <w:rFonts w:eastAsia="Times New Roman"/>
      <w:b/>
      <w:bCs/>
      <w:i/>
      <w:sz w:val="18"/>
      <w:szCs w:val="20"/>
      <w:lang w:eastAsia="nl-NL"/>
    </w:rPr>
  </w:style>
  <w:style w:type="paragraph" w:customStyle="1" w:styleId="OpmaakprofielVet">
    <w:name w:val="Opmaakprofiel Vet"/>
    <w:basedOn w:val="Standaard"/>
    <w:autoRedefine/>
    <w:rsid w:val="00615412"/>
    <w:pPr>
      <w:spacing w:before="120" w:after="120"/>
    </w:pPr>
    <w:rPr>
      <w:rFonts w:eastAsia="Times New Roman"/>
      <w:b/>
      <w:bCs/>
      <w:szCs w:val="24"/>
      <w:lang w:eastAsia="nl-NL"/>
    </w:rPr>
  </w:style>
  <w:style w:type="character" w:styleId="Paginanummer">
    <w:name w:val="page number"/>
    <w:basedOn w:val="Standaardalinea-lettertype"/>
    <w:rsid w:val="00615412"/>
  </w:style>
  <w:style w:type="paragraph" w:styleId="Inhopg1">
    <w:name w:val="toc 1"/>
    <w:basedOn w:val="Standaard"/>
    <w:next w:val="Standaard"/>
    <w:autoRedefine/>
    <w:uiPriority w:val="39"/>
    <w:rsid w:val="00615412"/>
    <w:pPr>
      <w:spacing w:before="120" w:after="120"/>
    </w:pPr>
    <w:rPr>
      <w:rFonts w:asciiTheme="minorHAnsi" w:hAnsiTheme="minorHAnsi" w:cstheme="minorHAnsi"/>
      <w:b/>
      <w:bCs/>
      <w:caps/>
      <w:sz w:val="20"/>
      <w:szCs w:val="20"/>
    </w:rPr>
  </w:style>
  <w:style w:type="character" w:styleId="Hyperlink">
    <w:name w:val="Hyperlink"/>
    <w:basedOn w:val="Standaardalinea-lettertype"/>
    <w:uiPriority w:val="99"/>
    <w:rsid w:val="00615412"/>
    <w:rPr>
      <w:color w:val="0000FF"/>
      <w:u w:val="single"/>
    </w:rPr>
  </w:style>
  <w:style w:type="paragraph" w:styleId="Kopvaninhoudsopgave">
    <w:name w:val="TOC Heading"/>
    <w:basedOn w:val="Kop1"/>
    <w:next w:val="Standaard"/>
    <w:uiPriority w:val="39"/>
    <w:unhideWhenUsed/>
    <w:qFormat/>
    <w:rsid w:val="00615412"/>
    <w:pPr>
      <w:spacing w:line="259" w:lineRule="auto"/>
      <w:outlineLvl w:val="9"/>
    </w:pPr>
    <w:rPr>
      <w:rFonts w:asciiTheme="majorHAnsi" w:hAnsiTheme="majorHAnsi" w:cstheme="majorBidi"/>
      <w:color w:val="2F5496" w:themeColor="accent1" w:themeShade="BF"/>
      <w:lang w:eastAsia="nl-NL"/>
    </w:rPr>
  </w:style>
  <w:style w:type="paragraph" w:styleId="Inhopg2">
    <w:name w:val="toc 2"/>
    <w:basedOn w:val="Standaard"/>
    <w:next w:val="Standaard"/>
    <w:autoRedefine/>
    <w:uiPriority w:val="39"/>
    <w:unhideWhenUsed/>
    <w:rsid w:val="00615412"/>
    <w:pPr>
      <w:tabs>
        <w:tab w:val="center" w:pos="4536"/>
        <w:tab w:val="right" w:leader="dot" w:pos="9060"/>
      </w:tabs>
      <w:ind w:left="220"/>
    </w:pPr>
    <w:rPr>
      <w:rFonts w:asciiTheme="minorHAnsi" w:hAnsiTheme="minorHAnsi" w:cstheme="minorHAnsi"/>
      <w:smallCaps/>
      <w:sz w:val="20"/>
      <w:szCs w:val="20"/>
    </w:rPr>
  </w:style>
  <w:style w:type="paragraph" w:customStyle="1" w:styleId="Lijstnummer">
    <w:name w:val="Lijstnummer"/>
    <w:basedOn w:val="Lijstalinea"/>
    <w:qFormat/>
    <w:rsid w:val="00615412"/>
    <w:pPr>
      <w:widowControl w:val="0"/>
      <w:numPr>
        <w:numId w:val="47"/>
      </w:numPr>
      <w:kinsoku w:val="0"/>
      <w:overflowPunct w:val="0"/>
      <w:ind w:left="284" w:hanging="284"/>
      <w:textAlignment w:val="baseline"/>
    </w:pPr>
    <w:rPr>
      <w:rFonts w:eastAsiaTheme="minorEastAsia"/>
      <w:szCs w:val="24"/>
      <w:lang w:eastAsia="nl-NL"/>
    </w:rPr>
  </w:style>
  <w:style w:type="paragraph" w:styleId="Ballontekst">
    <w:name w:val="Balloon Text"/>
    <w:basedOn w:val="Standaard"/>
    <w:link w:val="BallontekstChar"/>
    <w:uiPriority w:val="99"/>
    <w:semiHidden/>
    <w:unhideWhenUsed/>
    <w:rsid w:val="006154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5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9876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2017-10-23T19:27:00Z</dcterms:created>
  <dcterms:modified xsi:type="dcterms:W3CDTF">2017-10-23T19:27:00Z</dcterms:modified>
</cp:coreProperties>
</file>