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5F16" w:rsidRPr="00266659" w:rsidRDefault="00545F16" w:rsidP="00545F16">
      <w:pPr>
        <w:kinsoku w:val="0"/>
        <w:overflowPunct w:val="0"/>
        <w:textAlignment w:val="baseline"/>
      </w:pPr>
      <w:r w:rsidRPr="0018005E">
        <w:rPr>
          <w:noProof/>
        </w:rPr>
        <mc:AlternateContent>
          <mc:Choice Requires="wps">
            <w:drawing>
              <wp:anchor distT="0" distB="0" distL="0" distR="0" simplePos="0" relativeHeight="251661312" behindDoc="0" locked="0" layoutInCell="0" allowOverlap="1" wp14:anchorId="6AF09B0B" wp14:editId="2B78F31A">
                <wp:simplePos x="0" y="0"/>
                <wp:positionH relativeFrom="margin">
                  <wp:align>center</wp:align>
                </wp:positionH>
                <wp:positionV relativeFrom="paragraph">
                  <wp:posOffset>549794</wp:posOffset>
                </wp:positionV>
                <wp:extent cx="6172835" cy="0"/>
                <wp:effectExtent l="0" t="19050" r="56515" b="38100"/>
                <wp:wrapSquare wrapText="bothSides"/>
                <wp:docPr id="10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91416" id="Line 2" o:spid="_x0000_s1026" style="position:absolute;z-index:25166131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43.3pt" to="486.0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" o:allowincell="f" strokecolor="silver" strokeweight="4.8pt">
                <w10:wrap type="square" anchorx="margin"/>
              </v:line>
            </w:pict>
          </mc:Fallback>
        </mc:AlternateContent>
      </w:r>
      <w:r w:rsidRPr="00266659">
        <w:t>EXAMEN SCHEIKUNDE VWO 198</w:t>
      </w:r>
      <w:r>
        <w:t>3</w:t>
      </w:r>
      <w:r w:rsidRPr="00266659">
        <w:t xml:space="preserve"> </w:t>
      </w:r>
      <w:r>
        <w:t>TWEEDE</w:t>
      </w:r>
      <w:r w:rsidRPr="00266659">
        <w:t xml:space="preserve"> TIJDVAK</w:t>
      </w:r>
      <w:r>
        <w:t xml:space="preserve"> opgaven</w:t>
      </w:r>
    </w:p>
    <w:p w:rsidR="00545F16" w:rsidRPr="00B67E3A" w:rsidRDefault="00545F16" w:rsidP="00545F16">
      <w:pPr>
        <w:pStyle w:val="Kop2"/>
      </w:pPr>
      <w:bookmarkStart w:id="0" w:name="_Toc490751082"/>
      <w:proofErr w:type="spellStart"/>
      <w:r w:rsidRPr="00B67E3A">
        <w:t>Delokalisatie</w:t>
      </w:r>
      <w:proofErr w:type="spellEnd"/>
      <w:r>
        <w:tab/>
      </w:r>
      <w:r w:rsidRPr="00B67E3A">
        <w:t>1983-II(I)</w:t>
      </w:r>
      <w:bookmarkEnd w:id="0"/>
    </w:p>
    <w:p w:rsidR="00545F16" w:rsidRPr="00D62E83" w:rsidRDefault="00545F16" w:rsidP="00545F16">
      <w:r w:rsidRPr="00D62E83">
        <w:t xml:space="preserve">De reactiewarmte van de additie van waterstof aan propeen, aan de </w:t>
      </w:r>
      <w:proofErr w:type="spellStart"/>
      <w:r w:rsidRPr="00D62E83">
        <w:t>butenen</w:t>
      </w:r>
      <w:proofErr w:type="spellEnd"/>
      <w:r w:rsidRPr="00D62E83">
        <w:t xml:space="preserve"> en aan de pentenen bedraagt steeds ongeveer </w:t>
      </w:r>
      <w:r w:rsidRPr="00D62E83">
        <w:sym w:font="Symbol" w:char="F02D"/>
      </w:r>
      <w:r w:rsidRPr="00D62E83">
        <w:t xml:space="preserve">127 kJ per mol alkeen. De warmte van de volledige </w:t>
      </w:r>
      <w:proofErr w:type="spellStart"/>
      <w:r w:rsidRPr="00D62E83">
        <w:t>hydrogenering</w:t>
      </w:r>
      <w:proofErr w:type="spellEnd"/>
      <w:r w:rsidRPr="00D62E83">
        <w:t xml:space="preserve"> van</w:t>
      </w:r>
      <w:r>
        <w:br/>
      </w:r>
      <w:r w:rsidRPr="00D62E83">
        <w:t>penta</w:t>
      </w:r>
      <w:r>
        <w:t>-</w:t>
      </w:r>
      <w:r w:rsidRPr="00D62E83">
        <w:t xml:space="preserve">1,4-dieen bedraagt het dubbele: </w:t>
      </w:r>
      <w:r w:rsidRPr="00D62E83">
        <w:sym w:font="Symbol" w:char="F02D"/>
      </w:r>
      <w:r w:rsidRPr="00D62E83">
        <w:t>254 kJ per mol penta</w:t>
      </w:r>
      <w:r>
        <w:t>-</w:t>
      </w:r>
      <w:r w:rsidRPr="00D62E83">
        <w:t>1,4-dieen.</w:t>
      </w:r>
    </w:p>
    <w:p w:rsidR="00545F16" w:rsidRPr="00E15BAA" w:rsidRDefault="00545F16" w:rsidP="00545F16">
      <w:pPr>
        <w:pStyle w:val="CSElijst"/>
        <w:numPr>
          <w:ilvl w:val="0"/>
          <w:numId w:val="19"/>
        </w:numPr>
        <w:ind w:left="0" w:hanging="709"/>
        <w:rPr>
          <w:lang w:val="nl-NL"/>
        </w:rPr>
      </w:pPr>
      <w:r w:rsidRPr="00E15BAA">
        <w:rPr>
          <w:lang w:val="nl-NL"/>
        </w:rPr>
        <w:t xml:space="preserve">Leg uit dat mag worden verwacht dat de warmte van de volledige </w:t>
      </w:r>
      <w:proofErr w:type="spellStart"/>
      <w:r w:rsidRPr="00E15BAA">
        <w:rPr>
          <w:lang w:val="nl-NL"/>
        </w:rPr>
        <w:t>hydrogenering</w:t>
      </w:r>
      <w:proofErr w:type="spellEnd"/>
      <w:r w:rsidRPr="00E15BAA">
        <w:rPr>
          <w:lang w:val="nl-NL"/>
        </w:rPr>
        <w:t xml:space="preserve"> van penta-1,4-dieen twee keer zo groot is als die van de andere genoemde alkenen.</w:t>
      </w:r>
    </w:p>
    <w:p w:rsidR="00545F16" w:rsidRPr="00D62E83" w:rsidRDefault="00545F16" w:rsidP="00545F16">
      <w:r w:rsidRPr="00D62E83">
        <w:t xml:space="preserve">De reactiewarmte bij volledige </w:t>
      </w:r>
      <w:proofErr w:type="spellStart"/>
      <w:r w:rsidRPr="00D62E83">
        <w:t>hydrogenering</w:t>
      </w:r>
      <w:proofErr w:type="spellEnd"/>
      <w:r w:rsidRPr="00D62E83">
        <w:t xml:space="preserve"> van penta</w:t>
      </w:r>
      <w:r>
        <w:t>-</w:t>
      </w:r>
      <w:r w:rsidRPr="00D62E83">
        <w:t xml:space="preserve">1,3-dieen bedraagt echter </w:t>
      </w:r>
      <w:r w:rsidRPr="00D62E83">
        <w:sym w:font="Symbol" w:char="F02D"/>
      </w:r>
      <w:r w:rsidRPr="00D62E83">
        <w:t>226 kJ per mol</w:t>
      </w:r>
      <w:r w:rsidRPr="00D62E83">
        <w:br/>
        <w:t>penta</w:t>
      </w:r>
      <w:r>
        <w:t>-</w:t>
      </w:r>
      <w:r w:rsidRPr="00D62E83">
        <w:t>1,3-dieen. De reactie is dus 28 kJ per mol minder exotherm dan bij penta</w:t>
      </w:r>
      <w:r>
        <w:t>-</w:t>
      </w:r>
      <w:r w:rsidRPr="00D62E83">
        <w:t>1,4-dieen. Anders gezegd: penta</w:t>
      </w:r>
      <w:r>
        <w:t>-</w:t>
      </w:r>
      <w:r w:rsidRPr="00D62E83">
        <w:t>1,3-dieen is 28 kJ per mol stabieler dan penta</w:t>
      </w:r>
      <w:r>
        <w:t>-</w:t>
      </w:r>
      <w:r w:rsidRPr="00D62E83">
        <w:t xml:space="preserve">1,4-dieen. Deze stabilisatie kan worden toegeschreven aan de aanwezigheid van elektronen, die in het molecuul minder plaatsgebonden zijn dan de overige elektronen. Deze minder plaatsgebonden elektronen noemt men </w:t>
      </w:r>
      <w:r>
        <w:t>‘</w:t>
      </w:r>
      <w:proofErr w:type="spellStart"/>
      <w:r w:rsidRPr="00D62E83">
        <w:t>gedelokaliseerde</w:t>
      </w:r>
      <w:proofErr w:type="spellEnd"/>
      <w:r>
        <w:t>’</w:t>
      </w:r>
      <w:r w:rsidRPr="00D62E83">
        <w:t xml:space="preserve"> elektronen. In de formule van penta</w:t>
      </w:r>
      <w:r>
        <w:t>-</w:t>
      </w:r>
      <w:r w:rsidRPr="00D62E83">
        <w:t>1,3-dieen kan men dit als volgt weergeven:</w:t>
      </w:r>
    </w:p>
    <w:p w:rsidR="00545F16" w:rsidRPr="00D62E83" w:rsidRDefault="00545F16" w:rsidP="00545F16">
      <w:pPr>
        <w:pStyle w:val="Vergelijking"/>
      </w:pPr>
      <w:r w:rsidRPr="00D62E83">
        <w:object w:dxaOrig="2544" w:dyaOrig="1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45pt;height:54.45pt" o:ole="">
            <v:imagedata r:id="rId7" o:title=""/>
          </v:shape>
          <o:OLEObject Type="Embed" ProgID="ACD.ChemSketch.20" ShapeID="_x0000_i1025" DrawAspect="Content" ObjectID="_1571687119" r:id="rId8"/>
        </w:object>
      </w:r>
    </w:p>
    <w:p w:rsidR="00545F16" w:rsidRPr="00D62E83" w:rsidRDefault="00545F16" w:rsidP="00545F16">
      <w:r w:rsidRPr="00D62E83">
        <w:t xml:space="preserve">De stippellijn geeft aan waar de </w:t>
      </w:r>
      <w:proofErr w:type="spellStart"/>
      <w:r w:rsidRPr="00D62E83">
        <w:t>gedelokaliseerde</w:t>
      </w:r>
      <w:proofErr w:type="spellEnd"/>
      <w:r w:rsidRPr="00D62E83">
        <w:t xml:space="preserve"> elektronen zich in het molecuul kunnen bevinden.</w:t>
      </w:r>
    </w:p>
    <w:p w:rsidR="00545F16" w:rsidRPr="00D62E83" w:rsidRDefault="00545F16" w:rsidP="00545F16">
      <w:r w:rsidRPr="00D62E83">
        <w:t xml:space="preserve">Een dergelijke </w:t>
      </w:r>
      <w:proofErr w:type="spellStart"/>
      <w:r w:rsidRPr="00D62E83">
        <w:t>delokalisatie</w:t>
      </w:r>
      <w:proofErr w:type="spellEnd"/>
      <w:r w:rsidRPr="00D62E83">
        <w:t xml:space="preserve"> van elektronen doet zich niet voor als in een molecuul de dubbele bindingen door meer dan één enkele binding zijn gescheiden.</w:t>
      </w:r>
    </w:p>
    <w:p w:rsidR="00545F16" w:rsidRPr="00D62E83" w:rsidRDefault="00545F16" w:rsidP="00545F16">
      <w:r w:rsidRPr="00D62E83">
        <w:t xml:space="preserve">De reactiewarmte van de </w:t>
      </w:r>
      <w:proofErr w:type="spellStart"/>
      <w:r w:rsidRPr="00D62E83">
        <w:t>hydrogenering</w:t>
      </w:r>
      <w:proofErr w:type="spellEnd"/>
      <w:r w:rsidRPr="00D62E83">
        <w:t xml:space="preserve"> van fenyletheen tot ethylbenzeen is </w:t>
      </w:r>
      <w:r w:rsidRPr="00D62E83">
        <w:sym w:font="Symbol" w:char="F02D"/>
      </w:r>
      <w:r w:rsidRPr="00D62E83">
        <w:t>119 kJ per mol fenyletheen.</w:t>
      </w:r>
    </w:p>
    <w:p w:rsidR="00545F16" w:rsidRPr="00D62E83" w:rsidRDefault="00545F16" w:rsidP="00545F16">
      <w:r w:rsidRPr="00D62E83">
        <w:t xml:space="preserve">Voor propeen is deze reactiewarmte, zoals reeds eerder vermeld, </w:t>
      </w:r>
      <w:r w:rsidRPr="00D62E83">
        <w:sym w:font="Symbol" w:char="F02D"/>
      </w:r>
      <w:r w:rsidRPr="00D62E83">
        <w:t xml:space="preserve">127 kJ per mol. Dit verschil kan eveneens verklaard worden met </w:t>
      </w:r>
      <w:proofErr w:type="spellStart"/>
      <w:r w:rsidRPr="00D62E83">
        <w:t>delokalisatie</w:t>
      </w:r>
      <w:proofErr w:type="spellEnd"/>
      <w:r w:rsidRPr="00D62E83">
        <w:t xml:space="preserve"> van elektronen.</w:t>
      </w:r>
    </w:p>
    <w:p w:rsidR="00545F16" w:rsidRPr="00D62E83" w:rsidRDefault="00545F16" w:rsidP="00545F16">
      <w:r w:rsidRPr="00D62E83">
        <w:t xml:space="preserve">Anders dan bij ethylbenzeen beperkt de </w:t>
      </w:r>
      <w:proofErr w:type="spellStart"/>
      <w:r w:rsidRPr="00D62E83">
        <w:t>delokalisatie</w:t>
      </w:r>
      <w:proofErr w:type="spellEnd"/>
      <w:r w:rsidRPr="00D62E83">
        <w:t xml:space="preserve"> van de elektronen bij fenyletheen zich niet alleen tot de benzeenring, maar strekt zich ook uit over de zijketen, zoals in onderstaande structuurformules is weergegeven:</w:t>
      </w:r>
    </w:p>
    <w:p w:rsidR="00545F16" w:rsidRPr="00D62E83" w:rsidRDefault="00545F16" w:rsidP="00545F16">
      <w:pPr>
        <w:pStyle w:val="Vergelijking"/>
      </w:pPr>
      <w:r w:rsidRPr="00D62E83">
        <w:object w:dxaOrig="4901" w:dyaOrig="1560">
          <v:shape id="_x0000_i1026" type="#_x0000_t75" style="width:211.95pt;height:66.9pt" o:ole="">
            <v:imagedata r:id="rId9" o:title=""/>
          </v:shape>
          <o:OLEObject Type="Embed" ProgID="ACD.ChemSketch.20" ShapeID="_x0000_i1026" DrawAspect="Content" ObjectID="_1571687120" r:id="rId10"/>
        </w:object>
      </w:r>
    </w:p>
    <w:p w:rsidR="00545F16" w:rsidRPr="00D62E83" w:rsidRDefault="00545F16" w:rsidP="00545F16">
      <w:r w:rsidRPr="00D62E83">
        <w:t xml:space="preserve">Bij 3-fenyl-l-propeen kan de </w:t>
      </w:r>
      <w:proofErr w:type="spellStart"/>
      <w:r w:rsidRPr="00D62E83">
        <w:t>delokalisatie</w:t>
      </w:r>
      <w:proofErr w:type="spellEnd"/>
      <w:r w:rsidRPr="00D62E83">
        <w:t xml:space="preserve"> zich niet over de zijketen uitbreiden omdat de benzeenring en de dubbele binding door meer dan één enkele binding zijn gescheiden.</w:t>
      </w:r>
    </w:p>
    <w:p w:rsidR="00545F16" w:rsidRPr="00E15BAA" w:rsidRDefault="00545F16" w:rsidP="00545F16">
      <w:pPr>
        <w:pStyle w:val="CSElijst"/>
        <w:numPr>
          <w:ilvl w:val="0"/>
          <w:numId w:val="7"/>
        </w:numPr>
        <w:ind w:left="0" w:hanging="709"/>
        <w:rPr>
          <w:lang w:val="nl-NL"/>
        </w:rPr>
      </w:pPr>
      <w:r w:rsidRPr="00E15BAA">
        <w:rPr>
          <w:lang w:val="nl-NL"/>
        </w:rPr>
        <w:t xml:space="preserve">Teken van 1-fenylhexa-1,3,5-trieen de structuurformule waarin de </w:t>
      </w:r>
      <w:proofErr w:type="spellStart"/>
      <w:r w:rsidRPr="00E15BAA">
        <w:rPr>
          <w:lang w:val="nl-NL"/>
        </w:rPr>
        <w:t>delokalisatie</w:t>
      </w:r>
      <w:proofErr w:type="spellEnd"/>
      <w:r w:rsidRPr="00E15BAA">
        <w:rPr>
          <w:lang w:val="nl-NL"/>
        </w:rPr>
        <w:t xml:space="preserve"> van elektronen is aangegeven.</w:t>
      </w:r>
    </w:p>
    <w:p w:rsidR="00545F16" w:rsidRPr="00D62E83" w:rsidRDefault="00545F16" w:rsidP="00545F16">
      <w:r w:rsidRPr="00D62E83">
        <w:t>Als men 3-methylhexa-1,5-dieen voldoende hoog verhit, wordt hepta</w:t>
      </w:r>
      <w:r>
        <w:t>-</w:t>
      </w:r>
      <w:r w:rsidRPr="00D62E83">
        <w:t xml:space="preserve">1,5-dieen gevormd. Tijdens deze reactie ontstaan geen andere producten. Verondersteld wordt dat deze reactie berust op omlegging in het molecuul waarbij in een overgangstoestand zes C atomen een ring vormen, bijeengehouden door zes </w:t>
      </w:r>
      <w:proofErr w:type="spellStart"/>
      <w:r w:rsidRPr="00D62E83">
        <w:t>gedelokaliseerde</w:t>
      </w:r>
      <w:proofErr w:type="spellEnd"/>
      <w:r w:rsidRPr="00D62E83">
        <w:t xml:space="preserve"> elektronen:</w:t>
      </w:r>
    </w:p>
    <w:p w:rsidR="00545F16" w:rsidRPr="00D62E83" w:rsidRDefault="00545F16" w:rsidP="00545F16">
      <w:pPr>
        <w:pStyle w:val="Vergelijking"/>
        <w:rPr>
          <w:iCs/>
        </w:rPr>
      </w:pPr>
      <w:r w:rsidRPr="00D62E83">
        <w:object w:dxaOrig="6067" w:dyaOrig="2026">
          <v:shape id="_x0000_i1027" type="#_x0000_t75" style="width:266.35pt;height:88.45pt" o:ole="">
            <v:imagedata r:id="rId11" o:title=""/>
          </v:shape>
          <o:OLEObject Type="Embed" ProgID="ACD.ChemSketch.20" ShapeID="_x0000_i1027" DrawAspect="Content" ObjectID="_1571687121" r:id="rId12"/>
        </w:object>
      </w:r>
    </w:p>
    <w:p w:rsidR="00545F16" w:rsidRPr="00D62E83" w:rsidRDefault="00545F16" w:rsidP="00545F16">
      <w:r w:rsidRPr="00D62E83">
        <w:rPr>
          <w:iCs/>
        </w:rPr>
        <w:t>Ook</w:t>
      </w:r>
      <w:r w:rsidRPr="00D62E83">
        <w:rPr>
          <w:i/>
          <w:iCs/>
        </w:rPr>
        <w:t xml:space="preserve"> </w:t>
      </w:r>
      <w:r w:rsidRPr="00D62E83">
        <w:t xml:space="preserve">hier is met een stippellijn aangegeven waar de </w:t>
      </w:r>
      <w:proofErr w:type="spellStart"/>
      <w:r w:rsidRPr="00D62E83">
        <w:t>gedelokaliseerde</w:t>
      </w:r>
      <w:proofErr w:type="spellEnd"/>
      <w:r w:rsidRPr="00D62E83">
        <w:t xml:space="preserve"> elektronen zich kunnen bevinden.</w:t>
      </w:r>
    </w:p>
    <w:p w:rsidR="00545F16" w:rsidRPr="00D62E83" w:rsidRDefault="00545F16" w:rsidP="00545F16">
      <w:r w:rsidRPr="00D62E83">
        <w:lastRenderedPageBreak/>
        <w:t xml:space="preserve">Het beschreven mechanisme is voorgesteld door </w:t>
      </w:r>
      <w:proofErr w:type="spellStart"/>
      <w:r w:rsidRPr="00D62E83">
        <w:t>Cope</w:t>
      </w:r>
      <w:proofErr w:type="spellEnd"/>
      <w:r w:rsidRPr="00D62E83">
        <w:t xml:space="preserve"> en medewerkers. Zij voerden een groot aantal van dergelijke '</w:t>
      </w:r>
      <w:proofErr w:type="spellStart"/>
      <w:r w:rsidRPr="00D62E83">
        <w:t>Cope</w:t>
      </w:r>
      <w:proofErr w:type="spellEnd"/>
      <w:r>
        <w:t>-</w:t>
      </w:r>
      <w:r w:rsidRPr="00D62E83">
        <w:t>omleggingen' uit. Steeds weer werd gevonden dat slechts één nieuwe stof wordt gevormd.</w:t>
      </w:r>
    </w:p>
    <w:p w:rsidR="00545F16" w:rsidRPr="00E15BAA" w:rsidRDefault="00545F16" w:rsidP="00545F16">
      <w:pPr>
        <w:pStyle w:val="CSElijst"/>
        <w:numPr>
          <w:ilvl w:val="0"/>
          <w:numId w:val="7"/>
        </w:numPr>
        <w:ind w:left="0" w:hanging="709"/>
        <w:rPr>
          <w:lang w:val="nl-NL"/>
        </w:rPr>
      </w:pPr>
      <w:r w:rsidRPr="00E15BAA">
        <w:rPr>
          <w:lang w:val="nl-NL"/>
        </w:rPr>
        <w:t xml:space="preserve">Geef de structuurformule van het product dat ontstaat bij de </w:t>
      </w:r>
      <w:proofErr w:type="spellStart"/>
      <w:r w:rsidRPr="00E15BAA">
        <w:rPr>
          <w:lang w:val="nl-NL"/>
        </w:rPr>
        <w:t>Cope</w:t>
      </w:r>
      <w:proofErr w:type="spellEnd"/>
      <w:r w:rsidRPr="00E15BAA">
        <w:rPr>
          <w:lang w:val="nl-NL"/>
        </w:rPr>
        <w:t xml:space="preserve">-omlegging van </w:t>
      </w:r>
      <w:r w:rsidRPr="00E15BAA">
        <w:rPr>
          <w:lang w:val="nl-NL"/>
        </w:rPr>
        <w:br/>
        <w:t>3,4-dimethylhexa-1,5-dieen.</w:t>
      </w:r>
    </w:p>
    <w:p w:rsidR="00545F16" w:rsidRPr="00D62E83" w:rsidRDefault="00545F16" w:rsidP="00545F16">
      <w:proofErr w:type="spellStart"/>
      <w:r w:rsidRPr="00D62E83">
        <w:t>Cope</w:t>
      </w:r>
      <w:proofErr w:type="spellEnd"/>
      <w:r>
        <w:t>-</w:t>
      </w:r>
      <w:r w:rsidRPr="00D62E83">
        <w:t xml:space="preserve">omleggingen zijn in veel gevallen omkeerbaar. De ligging van het evenwicht dat zich instelt, wordt bepaald door de stabiliteit van beginproduct en gevormde stof. Een bevestiging hiervan werd gevonden door een </w:t>
      </w:r>
      <w:proofErr w:type="spellStart"/>
      <w:r w:rsidRPr="00D62E83">
        <w:t>Cope</w:t>
      </w:r>
      <w:proofErr w:type="spellEnd"/>
      <w:r>
        <w:t>-</w:t>
      </w:r>
      <w:r w:rsidRPr="00D62E83">
        <w:t>omlegging uit te voeren met hexa</w:t>
      </w:r>
      <w:r>
        <w:t>-</w:t>
      </w:r>
      <w:r w:rsidRPr="00D62E83">
        <w:t>1,5-dieen waarin de H atomen aan het eerste C atoom vervangen waren door deuteriumatomen (</w:t>
      </w:r>
      <w:r w:rsidRPr="00D62E83">
        <w:rPr>
          <w:position w:val="-10"/>
        </w:rPr>
        <w:object w:dxaOrig="360" w:dyaOrig="380">
          <v:shape id="_x0000_i1028" type="#_x0000_t75" style="width:17.55pt;height:18.7pt" o:ole="">
            <v:imagedata r:id="rId13" o:title=""/>
          </v:shape>
          <o:OLEObject Type="Embed" ProgID="Equation.3" ShapeID="_x0000_i1028" DrawAspect="Content" ObjectID="_1571687122" r:id="rId14"/>
        </w:object>
      </w:r>
      <w:r w:rsidRPr="00D62E83">
        <w:t xml:space="preserve"> atomen):</w:t>
      </w:r>
    </w:p>
    <w:p w:rsidR="00545F16" w:rsidRPr="00D62E83" w:rsidRDefault="00545F16" w:rsidP="00545F16">
      <w:pPr>
        <w:pStyle w:val="Vergelijking"/>
      </w:pPr>
      <w:r w:rsidRPr="00D62E83">
        <w:object w:dxaOrig="7934" w:dyaOrig="1320">
          <v:shape id="_x0000_i1029" type="#_x0000_t75" style="width:293.15pt;height:49.3pt" o:ole="">
            <v:imagedata r:id="rId15" o:title=""/>
          </v:shape>
          <o:OLEObject Type="Embed" ProgID="ACD.ChemSketch.20" ShapeID="_x0000_i1029" DrawAspect="Content" ObjectID="_1571687123" r:id="rId16"/>
        </w:object>
      </w:r>
    </w:p>
    <w:p w:rsidR="00545F16" w:rsidRPr="00D62E83" w:rsidRDefault="00545F16" w:rsidP="00545F16">
      <w:r w:rsidRPr="00D62E83">
        <w:t xml:space="preserve">Dit evenwicht heeft een evenwichtsconstante </w:t>
      </w:r>
      <w:r w:rsidRPr="00D62E83">
        <w:rPr>
          <w:i/>
        </w:rPr>
        <w:t>K</w:t>
      </w:r>
      <w:r w:rsidRPr="00D62E83">
        <w:t xml:space="preserve"> = 1.</w:t>
      </w:r>
    </w:p>
    <w:p w:rsidR="00545F16" w:rsidRPr="00D62E83" w:rsidRDefault="00545F16" w:rsidP="00545F16">
      <w:pPr>
        <w:pStyle w:val="Interlinie"/>
      </w:pPr>
      <w:r w:rsidRPr="00D62E83">
        <w:t xml:space="preserve">Bij de </w:t>
      </w:r>
      <w:proofErr w:type="spellStart"/>
      <w:r w:rsidRPr="00D62E83">
        <w:t>Cope</w:t>
      </w:r>
      <w:proofErr w:type="spellEnd"/>
      <w:r>
        <w:t>-</w:t>
      </w:r>
      <w:r w:rsidRPr="00D62E83">
        <w:t xml:space="preserve">omlegging uitgaande van 3-fenylhexa-1,5-dieen ligt het evenwicht verder naar rechts dan bij de </w:t>
      </w:r>
      <w:proofErr w:type="spellStart"/>
      <w:r w:rsidRPr="00D62E83">
        <w:t>Cope</w:t>
      </w:r>
      <w:proofErr w:type="spellEnd"/>
      <w:r>
        <w:t>-</w:t>
      </w:r>
      <w:r w:rsidRPr="00D62E83">
        <w:t xml:space="preserve">omlegging uitgaande van </w:t>
      </w:r>
      <w:proofErr w:type="spellStart"/>
      <w:r w:rsidRPr="00D62E83">
        <w:t>gedeutereerd</w:t>
      </w:r>
      <w:proofErr w:type="spellEnd"/>
      <w:r w:rsidRPr="00D62E83">
        <w:t xml:space="preserve"> hexa</w:t>
      </w:r>
      <w:r>
        <w:t>-</w:t>
      </w:r>
      <w:r w:rsidRPr="00D62E83">
        <w:t>1,5-dieen.</w:t>
      </w:r>
    </w:p>
    <w:p w:rsidR="00545F16" w:rsidRPr="00E15BAA" w:rsidRDefault="00545F16" w:rsidP="00545F16">
      <w:pPr>
        <w:pStyle w:val="CSElijst"/>
        <w:numPr>
          <w:ilvl w:val="0"/>
          <w:numId w:val="7"/>
        </w:numPr>
        <w:ind w:left="0" w:hanging="709"/>
        <w:rPr>
          <w:lang w:val="nl-NL"/>
        </w:rPr>
      </w:pPr>
      <w:r w:rsidRPr="00E15BAA">
        <w:rPr>
          <w:lang w:val="nl-NL"/>
        </w:rPr>
        <w:t xml:space="preserve">Leg uit dat mag worden verwacht, dat het evenwicht bij de </w:t>
      </w:r>
      <w:proofErr w:type="spellStart"/>
      <w:r w:rsidRPr="00E15BAA">
        <w:rPr>
          <w:lang w:val="nl-NL"/>
        </w:rPr>
        <w:t>Cope</w:t>
      </w:r>
      <w:proofErr w:type="spellEnd"/>
      <w:r w:rsidRPr="00E15BAA">
        <w:rPr>
          <w:lang w:val="nl-NL"/>
        </w:rPr>
        <w:t xml:space="preserve">-omlegging uitgaande van </w:t>
      </w:r>
      <w:r w:rsidRPr="00E15BAA">
        <w:rPr>
          <w:lang w:val="nl-NL"/>
        </w:rPr>
        <w:br/>
        <w:t xml:space="preserve">3-fenylhexa-1,5-dieen verder naar rechts ligt dan bij de </w:t>
      </w:r>
      <w:proofErr w:type="spellStart"/>
      <w:r w:rsidRPr="00E15BAA">
        <w:rPr>
          <w:lang w:val="nl-NL"/>
        </w:rPr>
        <w:t>Cope</w:t>
      </w:r>
      <w:proofErr w:type="spellEnd"/>
      <w:r w:rsidRPr="00E15BAA">
        <w:rPr>
          <w:lang w:val="nl-NL"/>
        </w:rPr>
        <w:t xml:space="preserve">-omlegging uitgaande van </w:t>
      </w:r>
      <w:proofErr w:type="spellStart"/>
      <w:r w:rsidRPr="00E15BAA">
        <w:rPr>
          <w:lang w:val="nl-NL"/>
        </w:rPr>
        <w:t>gedeutereerd</w:t>
      </w:r>
      <w:proofErr w:type="spellEnd"/>
      <w:r w:rsidRPr="00E15BAA">
        <w:rPr>
          <w:lang w:val="nl-NL"/>
        </w:rPr>
        <w:br/>
        <w:t>hexa-1,5-dieen.</w:t>
      </w:r>
    </w:p>
    <w:p w:rsidR="00545F16" w:rsidRPr="00D62E83" w:rsidRDefault="00545F16" w:rsidP="00545F16">
      <w:r w:rsidRPr="00D62E83">
        <w:t xml:space="preserve">De </w:t>
      </w:r>
      <w:proofErr w:type="spellStart"/>
      <w:r w:rsidRPr="00D62E83">
        <w:t>Cope</w:t>
      </w:r>
      <w:proofErr w:type="spellEnd"/>
      <w:r>
        <w:t>-</w:t>
      </w:r>
      <w:r w:rsidRPr="00D62E83">
        <w:t xml:space="preserve">omlegging van 3-fenylhexa-1,5-dieen verloopt sneller dan die van </w:t>
      </w:r>
      <w:proofErr w:type="spellStart"/>
      <w:r w:rsidRPr="00D62E83">
        <w:t>gedeutereerd</w:t>
      </w:r>
      <w:proofErr w:type="spellEnd"/>
      <w:r>
        <w:br/>
      </w:r>
      <w:r w:rsidRPr="00D62E83">
        <w:t>hexa</w:t>
      </w:r>
      <w:r>
        <w:t>-</w:t>
      </w:r>
      <w:r w:rsidRPr="00D62E83">
        <w:t>1</w:t>
      </w:r>
      <w:r>
        <w:t>,</w:t>
      </w:r>
      <w:r w:rsidRPr="00D62E83">
        <w:t>5</w:t>
      </w:r>
      <w:r>
        <w:t>-</w:t>
      </w:r>
      <w:r w:rsidRPr="00D62E83">
        <w:t>dieen. Dit is te verklaren met de grootte van de activeringsenergie. Immers hoe kleiner de activeringsenergie des te groter is de reactiesnelheid.</w:t>
      </w:r>
    </w:p>
    <w:p w:rsidR="00545F16" w:rsidRPr="00E15BAA" w:rsidRDefault="00545F16" w:rsidP="00545F16">
      <w:pPr>
        <w:pStyle w:val="CSElijst"/>
        <w:numPr>
          <w:ilvl w:val="0"/>
          <w:numId w:val="7"/>
        </w:numPr>
        <w:ind w:left="0" w:hanging="709"/>
        <w:rPr>
          <w:lang w:val="nl-NL"/>
        </w:rPr>
      </w:pPr>
      <w:r w:rsidRPr="00E15BAA">
        <w:rPr>
          <w:lang w:val="nl-NL"/>
        </w:rPr>
        <w:t xml:space="preserve">Leg uit dat mag worden verwacht, dat de activeringsenergie bij de </w:t>
      </w:r>
      <w:proofErr w:type="spellStart"/>
      <w:r w:rsidRPr="00E15BAA">
        <w:rPr>
          <w:lang w:val="nl-NL"/>
        </w:rPr>
        <w:t>Cope</w:t>
      </w:r>
      <w:proofErr w:type="spellEnd"/>
      <w:r w:rsidRPr="00E15BAA">
        <w:rPr>
          <w:lang w:val="nl-NL"/>
        </w:rPr>
        <w:t>-omlegging van</w:t>
      </w:r>
      <w:r w:rsidRPr="00E15BAA">
        <w:rPr>
          <w:lang w:val="nl-NL"/>
        </w:rPr>
        <w:br/>
        <w:t xml:space="preserve">3-fenylhexa-1,5-dieen kleiner is dan die bij de </w:t>
      </w:r>
      <w:proofErr w:type="spellStart"/>
      <w:r w:rsidRPr="00E15BAA">
        <w:rPr>
          <w:lang w:val="nl-NL"/>
        </w:rPr>
        <w:t>Cope</w:t>
      </w:r>
      <w:proofErr w:type="spellEnd"/>
      <w:r w:rsidRPr="00E15BAA">
        <w:rPr>
          <w:lang w:val="nl-NL"/>
        </w:rPr>
        <w:t xml:space="preserve">-omlegging van </w:t>
      </w:r>
      <w:proofErr w:type="spellStart"/>
      <w:r w:rsidRPr="00E15BAA">
        <w:rPr>
          <w:lang w:val="nl-NL"/>
        </w:rPr>
        <w:t>gedeutereerd</w:t>
      </w:r>
      <w:proofErr w:type="spellEnd"/>
      <w:r w:rsidRPr="00E15BAA">
        <w:rPr>
          <w:lang w:val="nl-NL"/>
        </w:rPr>
        <w:t xml:space="preserve"> hexa-1,5-dieen.</w:t>
      </w:r>
    </w:p>
    <w:bookmarkStart w:id="1" w:name="_Toc189575783"/>
    <w:bookmarkStart w:id="2" w:name="_Toc490751083"/>
    <w:p w:rsidR="00545F16" w:rsidRPr="00B67E3A" w:rsidRDefault="00545F16" w:rsidP="00545F16">
      <w:pPr>
        <w:pStyle w:val="Kop2"/>
      </w:pPr>
      <w:r w:rsidRPr="00B67E3A">
        <w:rPr>
          <w:noProof/>
        </w:rPr>
        <mc:AlternateContent>
          <mc:Choice Requires="wps">
            <w:drawing>
              <wp:anchor distT="0" distB="0" distL="0" distR="0" simplePos="0" relativeHeight="251662336" behindDoc="0" locked="0" layoutInCell="0" allowOverlap="1" wp14:anchorId="5A12FAE5" wp14:editId="253003DA">
                <wp:simplePos x="0" y="0"/>
                <wp:positionH relativeFrom="margin">
                  <wp:align>center</wp:align>
                </wp:positionH>
                <wp:positionV relativeFrom="paragraph">
                  <wp:posOffset>325480</wp:posOffset>
                </wp:positionV>
                <wp:extent cx="6172835" cy="0"/>
                <wp:effectExtent l="0" t="19050" r="56515" b="38100"/>
                <wp:wrapSquare wrapText="bothSides"/>
                <wp:docPr id="10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5F8A7" id="Line 2" o:spid="_x0000_s1026" style="position:absolute;z-index:25166233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25.65pt" to="486.0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5R/FgIAACs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" o:allowincell="f" strokecolor="silver" strokeweight="4.8pt">
                <w10:wrap type="square" anchorx="margin"/>
              </v:line>
            </w:pict>
          </mc:Fallback>
        </mc:AlternateContent>
      </w:r>
      <w:r w:rsidRPr="00B67E3A">
        <w:t>Thermogram</w:t>
      </w:r>
      <w:r>
        <w:tab/>
      </w:r>
      <w:r w:rsidRPr="00B67E3A">
        <w:t>1983-II(II)</w:t>
      </w:r>
      <w:bookmarkEnd w:id="1"/>
      <w:bookmarkEnd w:id="2"/>
    </w:p>
    <w:p w:rsidR="00545F16" w:rsidRPr="00D62E83" w:rsidRDefault="00545F16" w:rsidP="00545F16">
      <w:r w:rsidRPr="00D62E83">
        <w:t xml:space="preserve">Calciumoxalaat is een slecht oplosbaar zout. Hiervan kan gebruik worden gemaakt bij de bepaling van het calciumgehalte van een oplossing. Wordt aan zo'n oplossing een overmaat natriumoxalaat toegevoegd dan wordt een neerslag verkregen van </w:t>
      </w:r>
      <w:proofErr w:type="spellStart"/>
      <w:r w:rsidRPr="00D62E83">
        <w:t>calciumoxalaatmonohydraat</w:t>
      </w:r>
      <w:proofErr w:type="spellEnd"/>
      <w:r w:rsidRPr="00D62E83">
        <w:t>, CaC</w:t>
      </w:r>
      <w:r w:rsidRPr="00D62E83">
        <w:rPr>
          <w:vertAlign w:val="subscript"/>
        </w:rPr>
        <w:t>2</w:t>
      </w:r>
      <w:r w:rsidRPr="00D62E83">
        <w:t>O</w:t>
      </w:r>
      <w:r w:rsidRPr="00D62E83">
        <w:rPr>
          <w:vertAlign w:val="subscript"/>
        </w:rPr>
        <w:t>4</w:t>
      </w:r>
      <w:r w:rsidRPr="00D62E83">
        <w:sym w:font="Symbol" w:char="F0D7"/>
      </w:r>
      <w:r w:rsidRPr="00D62E83">
        <w:t>H</w:t>
      </w:r>
      <w:r w:rsidRPr="00D62E83">
        <w:rPr>
          <w:vertAlign w:val="subscript"/>
        </w:rPr>
        <w:t>2</w:t>
      </w:r>
      <w:r w:rsidRPr="00D62E83">
        <w:t>O.</w:t>
      </w:r>
    </w:p>
    <w:p w:rsidR="00545F16" w:rsidRPr="00D62E83" w:rsidRDefault="00545F16" w:rsidP="00545F16">
      <w:r w:rsidRPr="00D62E83">
        <w:t>Dit neerslag wordt gefiltreerd, gedroogd en gewogen; uit het resultaat kan het calciumgehalte van de oplossing worden berekend.</w:t>
      </w:r>
    </w:p>
    <w:p w:rsidR="00545F16" w:rsidRPr="00D62E83" w:rsidRDefault="00545F16" w:rsidP="00545F16">
      <w:r w:rsidRPr="00D62E83">
        <w:t xml:space="preserve">Bij het drogen van het neerslag doet zich echter het probleem voor dat bij 100 à </w:t>
      </w:r>
      <w:smartTag w:uri="urn:schemas-microsoft-com:office:smarttags" w:element="metricconverter">
        <w:smartTagPr>
          <w:attr w:name="ProductID" w:val="110 ﾰC"/>
        </w:smartTagPr>
        <w:r w:rsidRPr="00D62E83">
          <w:t>110 °C</w:t>
        </w:r>
      </w:smartTag>
      <w:r w:rsidRPr="00D62E83">
        <w:t xml:space="preserve"> enig verlies van kristalwater optreedt. Als men geen rekening houdt met dit verlies van kristalwater vindt men een onjuist calciumgehalte.</w:t>
      </w:r>
    </w:p>
    <w:p w:rsidR="00545F16" w:rsidRPr="00E15BAA" w:rsidRDefault="00545F16" w:rsidP="00545F16">
      <w:pPr>
        <w:pStyle w:val="CSElijst"/>
        <w:numPr>
          <w:ilvl w:val="0"/>
          <w:numId w:val="7"/>
        </w:numPr>
        <w:ind w:left="0" w:hanging="709"/>
        <w:rPr>
          <w:lang w:val="nl-NL"/>
        </w:rPr>
      </w:pPr>
      <w:r w:rsidRPr="00E15BAA">
        <w:rPr>
          <w:lang w:val="nl-NL"/>
        </w:rPr>
        <w:t>Leg uit of de aldus gevonden waarde voor het calciumgehalte te hoog of te laag is.</w:t>
      </w:r>
    </w:p>
    <w:p w:rsidR="00545F16" w:rsidRPr="00D62E83" w:rsidRDefault="00545F16" w:rsidP="00545F16">
      <w:r w:rsidRPr="00D62E83">
        <w:t xml:space="preserve">Volledig watervrij calciumoxalaat ontstaat bij verhitten tot </w:t>
      </w:r>
      <w:smartTag w:uri="urn:schemas-microsoft-com:office:smarttags" w:element="metricconverter">
        <w:smartTagPr>
          <w:attr w:name="ProductID" w:val="200 ﾰC"/>
        </w:smartTagPr>
        <w:r w:rsidRPr="00D62E83">
          <w:t>200 °C</w:t>
        </w:r>
      </w:smartTag>
      <w:r w:rsidRPr="00D62E83">
        <w:t>.</w:t>
      </w:r>
    </w:p>
    <w:p w:rsidR="00545F16" w:rsidRPr="00D62E83" w:rsidRDefault="00545F16" w:rsidP="00545F16">
      <w:r w:rsidRPr="00D62E83">
        <w:t xml:space="preserve">Echter, deze stof is uiterst hygroscopisch en daardoor voor de analyse ook niet bruikbaar. Wordt het calciumoxalaat verhit tot ongeveer </w:t>
      </w:r>
      <w:smartTag w:uri="urn:schemas-microsoft-com:office:smarttags" w:element="metricconverter">
        <w:smartTagPr>
          <w:attr w:name="ProductID" w:val="600 ﾰC"/>
        </w:smartTagPr>
        <w:r w:rsidRPr="00D62E83">
          <w:t>600 °C</w:t>
        </w:r>
      </w:smartTag>
      <w:r w:rsidRPr="00D62E83">
        <w:t xml:space="preserve"> dan vindt ontleding plaats waarbij zuiver calciumcarbonaat ontstaat. Dit zout is ook bij kamertemperatuur stabiel en dus voor analytische doeleinden geschikt.</w:t>
      </w:r>
    </w:p>
    <w:p w:rsidR="00545F16" w:rsidRPr="00E15BAA" w:rsidRDefault="00545F16" w:rsidP="00545F16">
      <w:pPr>
        <w:pStyle w:val="CSElijst"/>
        <w:numPr>
          <w:ilvl w:val="0"/>
          <w:numId w:val="7"/>
        </w:numPr>
        <w:ind w:left="0" w:hanging="709"/>
        <w:rPr>
          <w:lang w:val="nl-NL"/>
        </w:rPr>
      </w:pPr>
      <w:r w:rsidRPr="00E15BAA">
        <w:rPr>
          <w:lang w:val="nl-NL"/>
        </w:rPr>
        <w:t xml:space="preserve">Geef de reactievergelijking voor het ontleden van watervrij calciumoxalaat bij het verhitten tot ongeveer 600 </w:t>
      </w:r>
      <w:r w:rsidRPr="00D62E83">
        <w:sym w:font="Symbol" w:char="F0B0"/>
      </w:r>
      <w:r w:rsidRPr="00E15BAA">
        <w:rPr>
          <w:lang w:val="nl-NL"/>
        </w:rPr>
        <w:t>C.</w:t>
      </w:r>
    </w:p>
    <w:p w:rsidR="00545F16" w:rsidRPr="00D62E83" w:rsidRDefault="00545F16" w:rsidP="00545F16">
      <w:r w:rsidRPr="00D62E83">
        <w:t>Dergelijke ontledingsreacties kunnen met behulp van een thermobalans worden onderzocht. Met deze balans wordt, terwijl de temperatuur langzaam en gelijkmatig wordt verhoogd, voortdurend de massa gemeten.</w:t>
      </w:r>
    </w:p>
    <w:p w:rsidR="00545F16" w:rsidRPr="00D62E83" w:rsidRDefault="00545F16" w:rsidP="00545F16">
      <w:r w:rsidRPr="00D62E83">
        <w:t>Zet men de gemeten massa uit tegen de temperatuur, dan verkrijgt men een zogenaamd thermogram.</w:t>
      </w:r>
    </w:p>
    <w:p w:rsidR="00545F16" w:rsidRPr="00D62E83" w:rsidRDefault="00545F16" w:rsidP="00545F16">
      <w:r w:rsidRPr="00D62E83">
        <w:t>Zolang geen reactie met gasontwikkeling plaatsvindt, loopt de curve in een thermogram horizontaal.</w:t>
      </w:r>
    </w:p>
    <w:p w:rsidR="00545F16" w:rsidRPr="00D62E83" w:rsidRDefault="00545F16" w:rsidP="00545F16">
      <w:r w:rsidRPr="00D62E83">
        <w:t xml:space="preserve">In </w:t>
      </w:r>
      <w:r w:rsidR="0051067E">
        <w:fldChar w:fldCharType="begin"/>
      </w:r>
      <w:r w:rsidR="0051067E">
        <w:instrText xml:space="preserve"> REF _Ref150256620  \* MERGEFORMAT </w:instrText>
      </w:r>
      <w:r w:rsidR="0051067E">
        <w:fldChar w:fldCharType="separate"/>
      </w:r>
      <w:r w:rsidRPr="00D62E83">
        <w:t>figuur 1</w:t>
      </w:r>
      <w:r w:rsidR="0051067E">
        <w:fldChar w:fldCharType="end"/>
      </w:r>
      <w:r w:rsidRPr="00D62E83">
        <w:t xml:space="preserve"> is het thermogram weergegeven van </w:t>
      </w:r>
      <w:proofErr w:type="spellStart"/>
      <w:r w:rsidRPr="00D62E83">
        <w:t>calciumoxalaatmonohydraat</w:t>
      </w:r>
      <w:proofErr w:type="spellEnd"/>
      <w:r w:rsidRPr="00D62E83">
        <w:t>.</w:t>
      </w:r>
    </w:p>
    <w:p w:rsidR="00545F16" w:rsidRPr="00D62E83" w:rsidRDefault="00545F16" w:rsidP="00545F16">
      <w:r w:rsidRPr="00D62E83">
        <w:rPr>
          <w:noProof/>
        </w:rPr>
        <w:lastRenderedPageBreak/>
        <w:drawing>
          <wp:inline distT="0" distB="0" distL="0" distR="0" wp14:anchorId="3E1081CF" wp14:editId="1A50C435">
            <wp:extent cx="2811145" cy="2176780"/>
            <wp:effectExtent l="19050" t="0" r="8255"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cstate="print"/>
                    <a:srcRect/>
                    <a:stretch>
                      <a:fillRect/>
                    </a:stretch>
                  </pic:blipFill>
                  <pic:spPr bwMode="auto">
                    <a:xfrm>
                      <a:off x="0" y="0"/>
                      <a:ext cx="2811145" cy="2176780"/>
                    </a:xfrm>
                    <a:prstGeom prst="rect">
                      <a:avLst/>
                    </a:prstGeom>
                    <a:noFill/>
                    <a:ln w="9525">
                      <a:noFill/>
                      <a:miter lim="800000"/>
                      <a:headEnd/>
                      <a:tailEnd/>
                    </a:ln>
                  </pic:spPr>
                </pic:pic>
              </a:graphicData>
            </a:graphic>
          </wp:inline>
        </w:drawing>
      </w:r>
    </w:p>
    <w:p w:rsidR="00545F16" w:rsidRPr="00D62E83" w:rsidRDefault="00545F16" w:rsidP="00545F16">
      <w:pPr>
        <w:pStyle w:val="Bijschrift"/>
        <w:rPr>
          <w:szCs w:val="22"/>
        </w:rPr>
      </w:pPr>
      <w:bookmarkStart w:id="3" w:name="_Ref150256727"/>
      <w:r w:rsidRPr="00D62E83">
        <w:t xml:space="preserve">figuur </w:t>
      </w:r>
      <w:r w:rsidR="0051067E">
        <w:fldChar w:fldCharType="begin"/>
      </w:r>
      <w:r w:rsidR="0051067E">
        <w:instrText xml:space="preserve"> SEQ figuur \* ARABIC </w:instrText>
      </w:r>
      <w:r w:rsidR="0051067E">
        <w:fldChar w:fldCharType="separate"/>
      </w:r>
      <w:r w:rsidRPr="00D62E83">
        <w:t>12</w:t>
      </w:r>
      <w:r w:rsidR="0051067E">
        <w:fldChar w:fldCharType="end"/>
      </w:r>
      <w:bookmarkEnd w:id="3"/>
    </w:p>
    <w:p w:rsidR="00545F16" w:rsidRPr="00D62E83" w:rsidRDefault="00545F16" w:rsidP="00545F16">
      <w:r w:rsidRPr="00D62E83">
        <w:t xml:space="preserve">Voor elk horizontaal stuk in dit thermogram geldt dat de weergegeven relatieve massa evenredig is met de </w:t>
      </w:r>
      <w:proofErr w:type="spellStart"/>
      <w:r w:rsidRPr="00D62E83">
        <w:t>molmassa</w:t>
      </w:r>
      <w:proofErr w:type="spellEnd"/>
      <w:r w:rsidRPr="00D62E83">
        <w:t xml:space="preserve"> van de stof die zich dan op de balans bevindt. Uit het thermogram is ook af te lezen dat bij temperaturen hoger dan 700 </w:t>
      </w:r>
      <w:r w:rsidRPr="00D62E83">
        <w:sym w:font="Symbol" w:char="F0B0"/>
      </w:r>
      <w:r w:rsidRPr="00D62E83">
        <w:t>C calciumcarbonaat ontleedt. Daarbij ontstaat calciumoxide.</w:t>
      </w:r>
    </w:p>
    <w:p w:rsidR="00545F16" w:rsidRPr="00E15BAA" w:rsidRDefault="00545F16" w:rsidP="00545F16">
      <w:pPr>
        <w:pStyle w:val="CSElijst"/>
        <w:numPr>
          <w:ilvl w:val="0"/>
          <w:numId w:val="7"/>
        </w:numPr>
        <w:ind w:left="0" w:hanging="709"/>
        <w:rPr>
          <w:lang w:val="nl-NL"/>
        </w:rPr>
      </w:pPr>
      <w:r w:rsidRPr="00E15BAA">
        <w:rPr>
          <w:lang w:val="nl-NL"/>
        </w:rPr>
        <w:t xml:space="preserve">Bereken op welke hoogte het horizontale stuk voor calciumoxide komt te liggen in </w:t>
      </w:r>
      <w:r>
        <w:fldChar w:fldCharType="begin"/>
      </w:r>
      <w:r w:rsidRPr="00E15BAA">
        <w:rPr>
          <w:lang w:val="nl-NL"/>
        </w:rPr>
        <w:instrText xml:space="preserve"> REF _Ref150256727  \* MERGEFORMAT </w:instrText>
      </w:r>
      <w:r>
        <w:fldChar w:fldCharType="separate"/>
      </w:r>
      <w:r w:rsidRPr="00E15BAA">
        <w:rPr>
          <w:lang w:val="nl-NL"/>
        </w:rPr>
        <w:t>figuur 12</w:t>
      </w:r>
      <w:r>
        <w:fldChar w:fldCharType="end"/>
      </w:r>
      <w:r w:rsidRPr="00E15BAA">
        <w:rPr>
          <w:lang w:val="nl-NL"/>
        </w:rPr>
        <w:t>.</w:t>
      </w:r>
    </w:p>
    <w:p w:rsidR="00545F16" w:rsidRPr="00D62E83" w:rsidRDefault="00545F16" w:rsidP="00545F16">
      <w:r w:rsidRPr="00D62E83">
        <w:t xml:space="preserve">In </w:t>
      </w:r>
      <w:r w:rsidR="0051067E">
        <w:fldChar w:fldCharType="begin"/>
      </w:r>
      <w:r w:rsidR="0051067E">
        <w:instrText xml:space="preserve"> REF _Ref150256838  \* MERGEFORMAT </w:instrText>
      </w:r>
      <w:r w:rsidR="0051067E">
        <w:fldChar w:fldCharType="separate"/>
      </w:r>
      <w:r w:rsidRPr="00D62E83">
        <w:t>figuur 13</w:t>
      </w:r>
      <w:r w:rsidR="0051067E">
        <w:fldChar w:fldCharType="end"/>
      </w:r>
      <w:r w:rsidRPr="00D62E83">
        <w:t xml:space="preserve"> is het thermogram weergegeven van koper(II)</w:t>
      </w:r>
      <w:proofErr w:type="spellStart"/>
      <w:r w:rsidRPr="00D62E83">
        <w:t>sulfaatpentahydraat</w:t>
      </w:r>
      <w:proofErr w:type="spellEnd"/>
      <w:r w:rsidRPr="00D62E83">
        <w:t>.</w:t>
      </w:r>
    </w:p>
    <w:p w:rsidR="00545F16" w:rsidRPr="00D62E83" w:rsidRDefault="00545F16" w:rsidP="00545F16">
      <w:pPr>
        <w:pStyle w:val="Interlinie"/>
      </w:pPr>
      <w:r w:rsidRPr="00D62E83">
        <w:rPr>
          <w:noProof/>
        </w:rPr>
        <w:drawing>
          <wp:inline distT="0" distB="0" distL="0" distR="0" wp14:anchorId="2783EF36" wp14:editId="0B7CA8D0">
            <wp:extent cx="3036570" cy="2415540"/>
            <wp:effectExtent l="1905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cstate="print"/>
                    <a:srcRect/>
                    <a:stretch>
                      <a:fillRect/>
                    </a:stretch>
                  </pic:blipFill>
                  <pic:spPr bwMode="auto">
                    <a:xfrm>
                      <a:off x="0" y="0"/>
                      <a:ext cx="3036570" cy="2415540"/>
                    </a:xfrm>
                    <a:prstGeom prst="rect">
                      <a:avLst/>
                    </a:prstGeom>
                    <a:noFill/>
                    <a:ln w="9525">
                      <a:noFill/>
                      <a:miter lim="800000"/>
                      <a:headEnd/>
                      <a:tailEnd/>
                    </a:ln>
                  </pic:spPr>
                </pic:pic>
              </a:graphicData>
            </a:graphic>
          </wp:inline>
        </w:drawing>
      </w:r>
    </w:p>
    <w:p w:rsidR="00545F16" w:rsidRPr="00D62E83" w:rsidRDefault="00545F16" w:rsidP="00545F16">
      <w:pPr>
        <w:pStyle w:val="Bijschrift"/>
        <w:rPr>
          <w:szCs w:val="22"/>
        </w:rPr>
      </w:pPr>
      <w:bookmarkStart w:id="4" w:name="_Ref150256838"/>
      <w:r w:rsidRPr="00D62E83">
        <w:t xml:space="preserve">figuur </w:t>
      </w:r>
      <w:r w:rsidR="0051067E">
        <w:fldChar w:fldCharType="begin"/>
      </w:r>
      <w:r w:rsidR="0051067E">
        <w:instrText xml:space="preserve"> SEQ f</w:instrText>
      </w:r>
      <w:r w:rsidR="0051067E">
        <w:instrText xml:space="preserve">iguur \* ARABIC </w:instrText>
      </w:r>
      <w:r w:rsidR="0051067E">
        <w:fldChar w:fldCharType="separate"/>
      </w:r>
      <w:r w:rsidRPr="00D62E83">
        <w:t>13</w:t>
      </w:r>
      <w:r w:rsidR="0051067E">
        <w:fldChar w:fldCharType="end"/>
      </w:r>
      <w:bookmarkEnd w:id="4"/>
    </w:p>
    <w:p w:rsidR="00545F16" w:rsidRPr="00D62E83" w:rsidRDefault="00545F16" w:rsidP="00545F16">
      <w:pPr>
        <w:pStyle w:val="Interlinie"/>
      </w:pPr>
      <w:r w:rsidRPr="00D62E83">
        <w:t>Bij verhitten van koper(II)</w:t>
      </w:r>
      <w:proofErr w:type="spellStart"/>
      <w:r w:rsidRPr="00D62E83">
        <w:t>sulfaatpentahydraat</w:t>
      </w:r>
      <w:proofErr w:type="spellEnd"/>
      <w:r w:rsidRPr="00D62E83">
        <w:t xml:space="preserve"> ontstaan achtereenvolgens; koper(II)</w:t>
      </w:r>
      <w:proofErr w:type="spellStart"/>
      <w:r w:rsidRPr="00D62E83">
        <w:t>sulfaatmonohydraat</w:t>
      </w:r>
      <w:proofErr w:type="spellEnd"/>
      <w:r w:rsidRPr="00D62E83">
        <w:t>, watervrij koper(II)sulfaat en ontledingsproducten van koper(II)sulfaat.</w:t>
      </w:r>
    </w:p>
    <w:p w:rsidR="00545F16" w:rsidRPr="00E15BAA" w:rsidRDefault="00545F16" w:rsidP="00545F16">
      <w:pPr>
        <w:pStyle w:val="CSElijst"/>
        <w:numPr>
          <w:ilvl w:val="0"/>
          <w:numId w:val="7"/>
        </w:numPr>
        <w:ind w:left="0" w:hanging="709"/>
        <w:rPr>
          <w:lang w:val="nl-NL"/>
        </w:rPr>
      </w:pPr>
      <w:r w:rsidRPr="00E15BAA">
        <w:rPr>
          <w:lang w:val="nl-NL"/>
        </w:rPr>
        <w:t xml:space="preserve">Leid uit </w:t>
      </w:r>
      <w:r>
        <w:fldChar w:fldCharType="begin"/>
      </w:r>
      <w:r w:rsidRPr="00E15BAA">
        <w:rPr>
          <w:lang w:val="nl-NL"/>
        </w:rPr>
        <w:instrText xml:space="preserve"> REF _Ref150256838  \* MERGEFORMAT </w:instrText>
      </w:r>
      <w:r>
        <w:fldChar w:fldCharType="separate"/>
      </w:r>
      <w:r w:rsidRPr="00E15BAA">
        <w:rPr>
          <w:lang w:val="nl-NL"/>
        </w:rPr>
        <w:t>figuur 13</w:t>
      </w:r>
      <w:r>
        <w:fldChar w:fldCharType="end"/>
      </w:r>
      <w:r w:rsidRPr="00E15BAA">
        <w:rPr>
          <w:lang w:val="nl-NL"/>
        </w:rPr>
        <w:t xml:space="preserve"> de verhoudingsformule af van de stof die op de thermobalans is ontstaan bij 1200 </w:t>
      </w:r>
      <w:r w:rsidRPr="00D62E83">
        <w:sym w:font="Symbol" w:char="F0B0"/>
      </w:r>
      <w:r w:rsidRPr="00E15BAA">
        <w:rPr>
          <w:lang w:val="nl-NL"/>
        </w:rPr>
        <w:t>C.</w:t>
      </w:r>
    </w:p>
    <w:p w:rsidR="00545F16" w:rsidRPr="00E15BAA" w:rsidRDefault="00545F16" w:rsidP="00545F16">
      <w:pPr>
        <w:pStyle w:val="CSElijst"/>
        <w:numPr>
          <w:ilvl w:val="0"/>
          <w:numId w:val="7"/>
        </w:numPr>
        <w:ind w:left="0" w:hanging="709"/>
        <w:rPr>
          <w:lang w:val="nl-NL"/>
        </w:rPr>
      </w:pPr>
      <w:r w:rsidRPr="00E15BAA">
        <w:rPr>
          <w:lang w:val="nl-NL"/>
        </w:rPr>
        <w:t>Leg uit of een horizontaal stuk in een thermogram altijd betekent dat dan geen reactie optreedt.</w:t>
      </w:r>
    </w:p>
    <w:bookmarkStart w:id="5" w:name="_Toc189575784"/>
    <w:bookmarkStart w:id="6" w:name="_Toc490751084"/>
    <w:p w:rsidR="00545F16" w:rsidRPr="00B67E3A" w:rsidRDefault="00545F16" w:rsidP="00545F16">
      <w:pPr>
        <w:pStyle w:val="Kop2"/>
      </w:pPr>
      <w:r w:rsidRPr="00B67E3A">
        <w:rPr>
          <w:noProof/>
        </w:rPr>
        <mc:AlternateContent>
          <mc:Choice Requires="wps">
            <w:drawing>
              <wp:anchor distT="0" distB="0" distL="0" distR="0" simplePos="0" relativeHeight="251663360" behindDoc="0" locked="0" layoutInCell="0" allowOverlap="1" wp14:anchorId="4864DDE6" wp14:editId="60A18C15">
                <wp:simplePos x="0" y="0"/>
                <wp:positionH relativeFrom="margin">
                  <wp:posOffset>-184245</wp:posOffset>
                </wp:positionH>
                <wp:positionV relativeFrom="paragraph">
                  <wp:posOffset>325480</wp:posOffset>
                </wp:positionV>
                <wp:extent cx="6172835" cy="0"/>
                <wp:effectExtent l="0" t="19050" r="56515" b="38100"/>
                <wp:wrapSquare wrapText="bothSides"/>
                <wp:docPr id="10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4A9C1" id="Line 2" o:spid="_x0000_s1026" style="position:absolute;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14.5pt,25.65pt" to="471.5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" o:allowincell="f" strokecolor="silver" strokeweight="4.8pt">
                <w10:wrap type="square" anchorx="margin"/>
              </v:line>
            </w:pict>
          </mc:Fallback>
        </mc:AlternateContent>
      </w:r>
      <w:r w:rsidRPr="00B67E3A">
        <w:t>Scheiding van kopererts</w:t>
      </w:r>
      <w:r>
        <w:tab/>
      </w:r>
      <w:r w:rsidRPr="00B67E3A">
        <w:t>1983-II(III)</w:t>
      </w:r>
      <w:bookmarkEnd w:id="5"/>
      <w:bookmarkEnd w:id="6"/>
    </w:p>
    <w:p w:rsidR="00545F16" w:rsidRPr="00D62E83" w:rsidRDefault="00545F16" w:rsidP="00545F16">
      <w:r w:rsidRPr="00D62E83">
        <w:t>Enkele mijnen in Midden-Afrika leveren ertsen die koper- en kobaltverbindingen bevatten. Daarnaast komen in deze ertsen ook ijzerverbindingen voor. Men wint koper en kobalt door elektrolyse van oplossingen die uit deze ertsen worden bereid.</w:t>
      </w:r>
    </w:p>
    <w:p w:rsidR="00545F16" w:rsidRPr="00E15BAA" w:rsidRDefault="00545F16" w:rsidP="00545F16">
      <w:pPr>
        <w:pStyle w:val="CSElijst"/>
        <w:numPr>
          <w:ilvl w:val="0"/>
          <w:numId w:val="7"/>
        </w:numPr>
        <w:ind w:left="0" w:hanging="709"/>
        <w:rPr>
          <w:lang w:val="nl-NL"/>
        </w:rPr>
      </w:pPr>
      <w:r w:rsidRPr="00E15BAA">
        <w:rPr>
          <w:lang w:val="nl-NL"/>
        </w:rPr>
        <w:t>Leg uit dat elektrolytische winning van koper uit deze oplossingen mogelijk is zonder dat tegelijkertijd kobalt ontstaat.</w:t>
      </w:r>
    </w:p>
    <w:p w:rsidR="00545F16" w:rsidRPr="00E15BAA" w:rsidRDefault="00545F16" w:rsidP="00545F16">
      <w:pPr>
        <w:pStyle w:val="CSElijst"/>
        <w:numPr>
          <w:ilvl w:val="0"/>
          <w:numId w:val="7"/>
        </w:numPr>
        <w:ind w:left="0" w:hanging="709"/>
        <w:rPr>
          <w:lang w:val="nl-NL"/>
        </w:rPr>
      </w:pPr>
      <w:r w:rsidRPr="00E15BAA">
        <w:rPr>
          <w:lang w:val="nl-NL"/>
        </w:rPr>
        <w:t>Leg uit dat aanwezigheid van ijzer(III)zouten in de oplossing leidt tot een hoger energieverbruik bij elektrolytische koperbereiding.</w:t>
      </w:r>
    </w:p>
    <w:p w:rsidR="00545F16" w:rsidRPr="00D62E83" w:rsidRDefault="00545F16" w:rsidP="00545F16">
      <w:r w:rsidRPr="00D62E83">
        <w:lastRenderedPageBreak/>
        <w:t xml:space="preserve">Het proces is schematisch en in sterk vereenvoudigde vorm weergegeven in </w:t>
      </w:r>
      <w:r w:rsidR="0051067E">
        <w:fldChar w:fldCharType="begin"/>
      </w:r>
      <w:r w:rsidR="0051067E">
        <w:instrText xml:space="preserve"> REF _Ref150258562  \* MERGEFORMAT </w:instrText>
      </w:r>
      <w:r w:rsidR="0051067E">
        <w:fldChar w:fldCharType="separate"/>
      </w:r>
      <w:r w:rsidRPr="00D62E83">
        <w:t>figuur 14</w:t>
      </w:r>
      <w:r w:rsidR="0051067E">
        <w:fldChar w:fldCharType="end"/>
      </w:r>
      <w:r w:rsidRPr="00D62E83">
        <w:t>. Onder andere blijft de wijze waarop de ijzer(III)zouten worden verwijderd buiten beschouwing.</w:t>
      </w:r>
    </w:p>
    <w:p w:rsidR="00545F16" w:rsidRPr="00D62E83" w:rsidRDefault="00545F16" w:rsidP="00545F16">
      <w:r w:rsidRPr="00D62E83">
        <w:t xml:space="preserve">De gewonnen ertsen worden vooraf gescheiden in een </w:t>
      </w:r>
      <w:proofErr w:type="spellStart"/>
      <w:r w:rsidRPr="00D62E83">
        <w:t>sulfidisch</w:t>
      </w:r>
      <w:proofErr w:type="spellEnd"/>
      <w:r w:rsidRPr="00D62E83">
        <w:t xml:space="preserve"> deel dat grotendeels bestaat uit metaalsulfiden, en een </w:t>
      </w:r>
      <w:proofErr w:type="spellStart"/>
      <w:r w:rsidRPr="00D62E83">
        <w:t>oxidisch</w:t>
      </w:r>
      <w:proofErr w:type="spellEnd"/>
      <w:r w:rsidRPr="00D62E83">
        <w:t xml:space="preserve"> deel dat vooral bestaat uit metaaloxiden, hydroxiden en carbonaten. Het </w:t>
      </w:r>
      <w:proofErr w:type="spellStart"/>
      <w:r w:rsidRPr="00D62E83">
        <w:t>sulfidische</w:t>
      </w:r>
      <w:proofErr w:type="spellEnd"/>
      <w:r w:rsidRPr="00D62E83">
        <w:t xml:space="preserve"> deel wordt onder zodanige omstandigheden in aanwezigheid van lucht verhit dat de sulfiden worden omgezet in sulfaten. Hieruit wordt door extractie met water een oplossing gemaakt die koper(II)sulfaat en kobalt(II)sulfaat bevat. Door elektrolyse wordt uit deze oplossing koper gewonnen. Daarbij verwijdert men niet alle koper(II) uit de oplossing. De overblijvende oplossing wordt gebruikt om uit het </w:t>
      </w:r>
      <w:proofErr w:type="spellStart"/>
      <w:r w:rsidRPr="00D62E83">
        <w:t>oxidische</w:t>
      </w:r>
      <w:proofErr w:type="spellEnd"/>
      <w:r w:rsidRPr="00D62E83">
        <w:t xml:space="preserve"> deel koper- en kobaltzouten in oplossing te brengen.</w:t>
      </w:r>
    </w:p>
    <w:p w:rsidR="00545F16" w:rsidRPr="00E15BAA" w:rsidRDefault="00545F16" w:rsidP="00545F16">
      <w:pPr>
        <w:pStyle w:val="CSElijst"/>
        <w:numPr>
          <w:ilvl w:val="0"/>
          <w:numId w:val="7"/>
        </w:numPr>
        <w:ind w:left="0" w:hanging="709"/>
        <w:rPr>
          <w:lang w:val="nl-NL"/>
        </w:rPr>
      </w:pPr>
      <w:r w:rsidRPr="00E15BAA">
        <w:rPr>
          <w:lang w:val="nl-NL"/>
        </w:rPr>
        <w:t xml:space="preserve">Leg uit dat de oplossing die overblijft na de elektrolytische winning van koper geschikt is om het </w:t>
      </w:r>
      <w:proofErr w:type="spellStart"/>
      <w:r w:rsidRPr="00E15BAA">
        <w:rPr>
          <w:lang w:val="nl-NL"/>
        </w:rPr>
        <w:t>oxidische</w:t>
      </w:r>
      <w:proofErr w:type="spellEnd"/>
      <w:r w:rsidRPr="00E15BAA">
        <w:rPr>
          <w:lang w:val="nl-NL"/>
        </w:rPr>
        <w:t xml:space="preserve"> deel van het erts op te lossen.</w:t>
      </w:r>
    </w:p>
    <w:p w:rsidR="00545F16" w:rsidRPr="00D62E83" w:rsidRDefault="00545F16" w:rsidP="00545F16">
      <w:r w:rsidRPr="00D62E83">
        <w:t xml:space="preserve">De nu verkregen oplossing wordt door toevoegen van kalkbrij op pH = 6,0 gebracht, waardoor koper(II)hydroxide neerslaat. Dit koper(II)hydroxide wordt na filtratie weer in het productieproces teruggebracht (zie </w:t>
      </w:r>
      <w:r w:rsidR="0051067E">
        <w:fldChar w:fldCharType="begin"/>
      </w:r>
      <w:r w:rsidR="0051067E">
        <w:instrText xml:space="preserve"> REF _Ref150258562  \* MERGEFORMAT </w:instrText>
      </w:r>
      <w:r w:rsidR="0051067E">
        <w:fldChar w:fldCharType="separate"/>
      </w:r>
      <w:r w:rsidRPr="00D62E83">
        <w:t>figuur 14</w:t>
      </w:r>
      <w:r w:rsidR="0051067E">
        <w:fldChar w:fldCharType="end"/>
      </w:r>
      <w:r w:rsidRPr="00D62E83">
        <w:t>). De koper(II)concentratie in het filtraat is dan echter nog steeds te hoog. Voor de winning van kobalt dat voldoende zuiver is, mag namelijk niet meer dan 1 mg koper(II) per liter filtraat aanwezig zijn.</w:t>
      </w:r>
    </w:p>
    <w:p w:rsidR="00545F16" w:rsidRPr="00E15BAA" w:rsidRDefault="00545F16" w:rsidP="00545F16">
      <w:pPr>
        <w:pStyle w:val="CSElijst"/>
        <w:numPr>
          <w:ilvl w:val="0"/>
          <w:numId w:val="7"/>
        </w:numPr>
        <w:ind w:left="0" w:hanging="709"/>
        <w:rPr>
          <w:lang w:val="nl-NL"/>
        </w:rPr>
      </w:pPr>
      <w:r w:rsidRPr="00E15BAA">
        <w:rPr>
          <w:lang w:val="nl-NL"/>
        </w:rPr>
        <w:t>Laat door berekening zien dat bij 298 K de koper(II)concentratie in de oplossing bij pH = 6,0 nog te hoog is.</w:t>
      </w:r>
    </w:p>
    <w:p w:rsidR="00545F16" w:rsidRPr="00D62E83" w:rsidRDefault="00545F16" w:rsidP="00545F16">
      <w:r w:rsidRPr="00D62E83">
        <w:t>De laatste resten koper(II) worden uit de oplossing verwijderd door een reactie met kobaltkorrels.</w:t>
      </w:r>
    </w:p>
    <w:p w:rsidR="00545F16" w:rsidRDefault="00545F16" w:rsidP="00545F16">
      <w:r w:rsidRPr="00D62E83">
        <w:t xml:space="preserve">Andere bestanddelen die bij de elektrolytische bereiding van kobalt zouden kunnen storen, raakt men kwijt door het kobalt(II) neer te slaan als kobalt(II)hydroxide. Dit wordt </w:t>
      </w:r>
      <w:proofErr w:type="spellStart"/>
      <w:r w:rsidRPr="00D62E83">
        <w:t>afgefiltreerd</w:t>
      </w:r>
      <w:proofErr w:type="spellEnd"/>
      <w:r w:rsidRPr="00D62E83">
        <w:t>, waarna het met zwavelzuur gemengd wordt tot een suspensie met pH = 7. Hierin is het kobalt(II)hydroxide slechts gedeeltelijk opgelost. Deze suspensie wordt met onaantastbare elektroden geëlektrolyseerd. Tijdens de elektrolyse blijft zowel de pH als de kobalt(II)concentratie constant.</w:t>
      </w:r>
    </w:p>
    <w:p w:rsidR="00545F16" w:rsidRPr="00E15BAA" w:rsidRDefault="00545F16" w:rsidP="00545F16">
      <w:pPr>
        <w:pStyle w:val="CSElijst"/>
        <w:numPr>
          <w:ilvl w:val="0"/>
          <w:numId w:val="7"/>
        </w:numPr>
        <w:tabs>
          <w:tab w:val="left" w:pos="284"/>
        </w:tabs>
        <w:ind w:left="0" w:hanging="709"/>
        <w:rPr>
          <w:lang w:val="nl-NL"/>
        </w:rPr>
      </w:pPr>
      <w:r w:rsidRPr="00E15BAA">
        <w:rPr>
          <w:lang w:val="nl-NL"/>
        </w:rPr>
        <w:t>1.</w:t>
      </w:r>
      <w:r w:rsidRPr="00E15BAA">
        <w:rPr>
          <w:lang w:val="nl-NL"/>
        </w:rPr>
        <w:tab/>
        <w:t>Geef voor elk van de elektroden de vergelijking van de reactie die daar optreedt.</w:t>
      </w:r>
      <w:r w:rsidRPr="00E15BAA">
        <w:rPr>
          <w:lang w:val="nl-NL"/>
        </w:rPr>
        <w:br/>
        <w:t>2.</w:t>
      </w:r>
      <w:r w:rsidRPr="00E15BAA">
        <w:rPr>
          <w:lang w:val="nl-NL"/>
        </w:rPr>
        <w:tab/>
        <w:t>Leg uit dat bij de elektrolyse van de suspensie van kobalt(II)hydroxide de pH en de kobalt(II)concentratie constant blijven.</w:t>
      </w:r>
    </w:p>
    <w:p w:rsidR="00545F16" w:rsidRPr="00E15BAA" w:rsidRDefault="00545F16" w:rsidP="00545F16">
      <w:pPr>
        <w:pStyle w:val="CSElijst"/>
        <w:numPr>
          <w:ilvl w:val="0"/>
          <w:numId w:val="7"/>
        </w:numPr>
        <w:ind w:left="0" w:hanging="709"/>
        <w:rPr>
          <w:lang w:val="nl-NL"/>
        </w:rPr>
      </w:pPr>
      <w:r w:rsidRPr="00E15BAA">
        <w:rPr>
          <w:lang w:val="nl-NL"/>
        </w:rPr>
        <w:t>Leg uit dat het gebruik van een deel van het geproduceerde kobalt om de laatste resten koper(II) te verwijderen niet ten koste gaat van de uiteindelijke kobaltopbrengst.</w:t>
      </w:r>
    </w:p>
    <w:p w:rsidR="00545F16" w:rsidRPr="00D62E83" w:rsidRDefault="00B50069" w:rsidP="00545F16">
      <w:r w:rsidRPr="00D62E83">
        <w:object w:dxaOrig="7819" w:dyaOrig="7392">
          <v:shape id="_x0000_i1030" type="#_x0000_t75" style="width:297.1pt;height:279.4pt" o:ole="">
            <v:imagedata r:id="rId19" o:title=""/>
          </v:shape>
          <o:OLEObject Type="Embed" ProgID="ACD.ChemSketch.20" ShapeID="_x0000_i1030" DrawAspect="Content" ObjectID="_1571687124" r:id="rId20"/>
        </w:object>
      </w:r>
    </w:p>
    <w:p w:rsidR="00545F16" w:rsidRPr="00D62E83" w:rsidRDefault="00545F16" w:rsidP="00545F16">
      <w:pPr>
        <w:pStyle w:val="Bijschrift"/>
        <w:rPr>
          <w:szCs w:val="22"/>
        </w:rPr>
      </w:pPr>
      <w:bookmarkStart w:id="7" w:name="_Ref150258562"/>
      <w:r w:rsidRPr="00D62E83">
        <w:t xml:space="preserve">figuur </w:t>
      </w:r>
      <w:r w:rsidR="0051067E">
        <w:fldChar w:fldCharType="begin"/>
      </w:r>
      <w:r w:rsidR="0051067E">
        <w:instrText xml:space="preserve"> SEQ f</w:instrText>
      </w:r>
      <w:r w:rsidR="0051067E">
        <w:instrText xml:space="preserve">iguur \* ARABIC </w:instrText>
      </w:r>
      <w:r w:rsidR="0051067E">
        <w:fldChar w:fldCharType="separate"/>
      </w:r>
      <w:r w:rsidRPr="00D62E83">
        <w:t>14</w:t>
      </w:r>
      <w:r w:rsidR="0051067E">
        <w:fldChar w:fldCharType="end"/>
      </w:r>
      <w:bookmarkEnd w:id="7"/>
    </w:p>
    <w:bookmarkStart w:id="8" w:name="_Toc189575785"/>
    <w:bookmarkStart w:id="9" w:name="_Toc490751085"/>
    <w:p w:rsidR="00545F16" w:rsidRPr="00B67E3A" w:rsidRDefault="00545F16" w:rsidP="00545F16">
      <w:pPr>
        <w:pStyle w:val="Kop2"/>
      </w:pPr>
      <w:r w:rsidRPr="00B67E3A">
        <w:rPr>
          <w:noProof/>
        </w:rPr>
        <w:lastRenderedPageBreak/>
        <mc:AlternateContent>
          <mc:Choice Requires="wps">
            <w:drawing>
              <wp:anchor distT="0" distB="0" distL="0" distR="0" simplePos="0" relativeHeight="251664384" behindDoc="0" locked="0" layoutInCell="0" allowOverlap="1" wp14:anchorId="3087DF11" wp14:editId="6785560E">
                <wp:simplePos x="0" y="0"/>
                <wp:positionH relativeFrom="margin">
                  <wp:align>center</wp:align>
                </wp:positionH>
                <wp:positionV relativeFrom="paragraph">
                  <wp:posOffset>256765</wp:posOffset>
                </wp:positionV>
                <wp:extent cx="6172835" cy="0"/>
                <wp:effectExtent l="0" t="19050" r="56515" b="38100"/>
                <wp:wrapSquare wrapText="bothSides"/>
                <wp:docPr id="10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0C464" id="Line 2" o:spid="_x0000_s1026" style="position:absolute;z-index:25166438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20.2pt" to="486.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" o:allowincell="f" strokecolor="silver" strokeweight="4.8pt">
                <w10:wrap type="square" anchorx="margin"/>
              </v:line>
            </w:pict>
          </mc:Fallback>
        </mc:AlternateContent>
      </w:r>
      <w:r w:rsidRPr="00B67E3A">
        <w:t>Titratie in diagrammen</w:t>
      </w:r>
      <w:r>
        <w:tab/>
      </w:r>
      <w:r w:rsidRPr="00B67E3A">
        <w:t>1983-II(IV)</w:t>
      </w:r>
      <w:bookmarkEnd w:id="8"/>
      <w:bookmarkEnd w:id="9"/>
    </w:p>
    <w:p w:rsidR="00545F16" w:rsidRPr="00D62E83" w:rsidRDefault="00545F16" w:rsidP="00545F16">
      <w:r w:rsidRPr="00D62E83">
        <w:t xml:space="preserve">Men kan de </w:t>
      </w:r>
      <w:proofErr w:type="spellStart"/>
      <w:r w:rsidRPr="00D62E83">
        <w:rPr>
          <w:iCs/>
        </w:rPr>
        <w:t>p</w:t>
      </w:r>
      <w:r w:rsidRPr="00D62E83">
        <w:rPr>
          <w:i/>
          <w:iCs/>
        </w:rPr>
        <w:t>K</w:t>
      </w:r>
      <w:r w:rsidRPr="00D62E83">
        <w:rPr>
          <w:iCs/>
          <w:vertAlign w:val="subscript"/>
        </w:rPr>
        <w:t>z</w:t>
      </w:r>
      <w:proofErr w:type="spellEnd"/>
      <w:r w:rsidRPr="00D62E83">
        <w:rPr>
          <w:i/>
          <w:iCs/>
        </w:rPr>
        <w:t xml:space="preserve"> </w:t>
      </w:r>
      <w:r w:rsidRPr="00D62E83">
        <w:t>(</w:t>
      </w:r>
      <w:proofErr w:type="spellStart"/>
      <w:r w:rsidRPr="00D62E83">
        <w:t>pZ</w:t>
      </w:r>
      <w:proofErr w:type="spellEnd"/>
      <w:r w:rsidRPr="00D62E83">
        <w:t xml:space="preserve">) van een zwak zuur HZ bepalen door middel van een titratie. Daartoe titreert men een oplossing van </w:t>
      </w:r>
      <w:r w:rsidRPr="00D62E83">
        <w:rPr>
          <w:i/>
          <w:iCs/>
        </w:rPr>
        <w:t xml:space="preserve">n </w:t>
      </w:r>
      <w:r w:rsidRPr="00D62E83">
        <w:t xml:space="preserve">mol van dit zwakke zuur met natronloog. De </w:t>
      </w:r>
      <w:proofErr w:type="spellStart"/>
      <w:r w:rsidRPr="00D62E83">
        <w:rPr>
          <w:iCs/>
        </w:rPr>
        <w:t>p</w:t>
      </w:r>
      <w:r w:rsidRPr="00D62E83">
        <w:rPr>
          <w:i/>
          <w:iCs/>
        </w:rPr>
        <w:t>K</w:t>
      </w:r>
      <w:r w:rsidRPr="00D62E83">
        <w:rPr>
          <w:iCs/>
          <w:vertAlign w:val="subscript"/>
        </w:rPr>
        <w:t>z</w:t>
      </w:r>
      <w:proofErr w:type="spellEnd"/>
      <w:r w:rsidRPr="00D62E83">
        <w:rPr>
          <w:i/>
          <w:iCs/>
        </w:rPr>
        <w:t xml:space="preserve"> </w:t>
      </w:r>
      <w:r w:rsidRPr="00D62E83">
        <w:t>van het zuur HZ is gelijk aan de pH van de oplossing als in de oplossing geldt: [HZ] = [Z</w:t>
      </w:r>
      <w:r w:rsidRPr="00D62E83">
        <w:rPr>
          <w:vertAlign w:val="superscript"/>
        </w:rPr>
        <w:sym w:font="Symbol" w:char="F02D"/>
      </w:r>
      <w:r w:rsidRPr="00D62E83">
        <w:t xml:space="preserve">] Men neemt echter gewoonlijk als waarde voor </w:t>
      </w:r>
      <w:proofErr w:type="spellStart"/>
      <w:r w:rsidRPr="00D62E83">
        <w:rPr>
          <w:iCs/>
        </w:rPr>
        <w:t>p</w:t>
      </w:r>
      <w:r w:rsidRPr="00D62E83">
        <w:rPr>
          <w:i/>
          <w:iCs/>
        </w:rPr>
        <w:t>K</w:t>
      </w:r>
      <w:r w:rsidRPr="00D62E83">
        <w:rPr>
          <w:iCs/>
          <w:vertAlign w:val="subscript"/>
        </w:rPr>
        <w:t>z</w:t>
      </w:r>
      <w:proofErr w:type="spellEnd"/>
      <w:r w:rsidRPr="00D62E83">
        <w:rPr>
          <w:i/>
          <w:iCs/>
        </w:rPr>
        <w:t xml:space="preserve"> </w:t>
      </w:r>
      <w:r w:rsidRPr="00D62E83">
        <w:t xml:space="preserve">de pH van de oplossing als ½ </w:t>
      </w:r>
      <w:r w:rsidRPr="00D62E83">
        <w:rPr>
          <w:i/>
          <w:iCs/>
        </w:rPr>
        <w:t xml:space="preserve">n </w:t>
      </w:r>
      <w:r w:rsidRPr="00D62E83">
        <w:t>mol natriumhydroxide is toegevoegd. Men maakt hierbij een verwaarlozing.</w:t>
      </w:r>
    </w:p>
    <w:p w:rsidR="00545F16" w:rsidRPr="00E15BAA" w:rsidRDefault="00545F16" w:rsidP="00545F16">
      <w:pPr>
        <w:pStyle w:val="CSElijst"/>
        <w:numPr>
          <w:ilvl w:val="0"/>
          <w:numId w:val="7"/>
        </w:numPr>
        <w:ind w:left="0" w:hanging="709"/>
        <w:rPr>
          <w:lang w:val="nl-NL"/>
        </w:rPr>
      </w:pPr>
      <w:r w:rsidRPr="00E15BAA">
        <w:rPr>
          <w:lang w:val="nl-NL"/>
        </w:rPr>
        <w:t xml:space="preserve">Wat verwaarloost men als men de </w:t>
      </w:r>
      <w:proofErr w:type="spellStart"/>
      <w:r w:rsidRPr="00E15BAA">
        <w:rPr>
          <w:lang w:val="nl-NL"/>
        </w:rPr>
        <w:t>p</w:t>
      </w:r>
      <w:r w:rsidRPr="00E15BAA">
        <w:rPr>
          <w:i/>
          <w:lang w:val="nl-NL"/>
        </w:rPr>
        <w:t>K</w:t>
      </w:r>
      <w:r w:rsidRPr="00E15BAA">
        <w:rPr>
          <w:vertAlign w:val="subscript"/>
          <w:lang w:val="nl-NL"/>
        </w:rPr>
        <w:t>z</w:t>
      </w:r>
      <w:proofErr w:type="spellEnd"/>
      <w:r w:rsidRPr="00E15BAA">
        <w:rPr>
          <w:lang w:val="nl-NL"/>
        </w:rPr>
        <w:t xml:space="preserve">-waarde gelijkstelt aan de pH van de oplossing als </w:t>
      </w:r>
      <w:r w:rsidRPr="00E15BAA">
        <w:rPr>
          <w:iCs/>
          <w:lang w:val="nl-NL"/>
        </w:rPr>
        <w:t>½</w:t>
      </w:r>
      <w:r w:rsidRPr="00E15BAA">
        <w:rPr>
          <w:i/>
          <w:iCs/>
          <w:lang w:val="nl-NL"/>
        </w:rPr>
        <w:t xml:space="preserve"> n </w:t>
      </w:r>
      <w:r w:rsidRPr="00E15BAA">
        <w:rPr>
          <w:lang w:val="nl-NL"/>
        </w:rPr>
        <w:t>mol natriumhydroxide is toegevoegd?</w:t>
      </w:r>
    </w:p>
    <w:p w:rsidR="00545F16" w:rsidRPr="00D62E83" w:rsidRDefault="00545F16" w:rsidP="00545F16">
      <w:r w:rsidRPr="00D62E83">
        <w:t xml:space="preserve">In </w:t>
      </w:r>
      <w:r w:rsidR="0051067E">
        <w:fldChar w:fldCharType="begin"/>
      </w:r>
      <w:r w:rsidR="0051067E">
        <w:instrText xml:space="preserve"> REF _Ref150259049  \* MERGEFORMAT </w:instrText>
      </w:r>
      <w:r w:rsidR="0051067E">
        <w:fldChar w:fldCharType="separate"/>
      </w:r>
      <w:r w:rsidRPr="00D62E83">
        <w:t>diagram 11</w:t>
      </w:r>
      <w:r w:rsidR="0051067E">
        <w:fldChar w:fldCharType="end"/>
      </w:r>
      <w:r w:rsidRPr="00D62E83">
        <w:t xml:space="preserve"> is de pH uitgezet tegen het aantal mol toegevoegd natriumhydroxide bij de titratie van een liter 0,100 molair azijnzuur. In </w:t>
      </w:r>
      <w:r w:rsidR="0051067E">
        <w:fldChar w:fldCharType="begin"/>
      </w:r>
      <w:r w:rsidR="0051067E">
        <w:instrText xml:space="preserve"> REF _Ref150259071  \* MERGEFORMAT </w:instrText>
      </w:r>
      <w:r w:rsidR="0051067E">
        <w:fldChar w:fldCharType="separate"/>
      </w:r>
      <w:r w:rsidRPr="00D62E83">
        <w:t>diagram 12</w:t>
      </w:r>
      <w:r w:rsidR="0051067E">
        <w:fldChar w:fldCharType="end"/>
      </w:r>
      <w:r w:rsidRPr="00D62E83">
        <w:t xml:space="preserve"> is voor dezelfde titratie van azijnzuur het aantal mol azijnzuur en het aantal mol acetaat, dat in de oplossing aanwezig is, uitgezet tegen het aantal mol toegevoegd natriumhydroxide.</w:t>
      </w:r>
    </w:p>
    <w:p w:rsidR="00545F16" w:rsidRPr="00D62E83" w:rsidRDefault="00545F16" w:rsidP="00545F16">
      <w:r>
        <w:rPr>
          <w:noProof/>
        </w:rPr>
        <mc:AlternateContent>
          <mc:Choice Requires="wps">
            <w:drawing>
              <wp:anchor distT="0" distB="0" distL="114300" distR="114300" simplePos="0" relativeHeight="251659264" behindDoc="0" locked="0" layoutInCell="1" allowOverlap="1">
                <wp:simplePos x="0" y="0"/>
                <wp:positionH relativeFrom="column">
                  <wp:posOffset>65405</wp:posOffset>
                </wp:positionH>
                <wp:positionV relativeFrom="paragraph">
                  <wp:posOffset>16510</wp:posOffset>
                </wp:positionV>
                <wp:extent cx="1792605" cy="1630045"/>
                <wp:effectExtent l="3175" t="3810" r="4445" b="444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163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5F16" w:rsidRDefault="00545F16" w:rsidP="00545F16">
                            <w:r>
                              <w:rPr>
                                <w:noProof/>
                              </w:rPr>
                              <w:drawing>
                                <wp:inline distT="0" distB="0" distL="0" distR="0" wp14:anchorId="08843BAF" wp14:editId="53F26EA2">
                                  <wp:extent cx="1590040" cy="1330960"/>
                                  <wp:effectExtent l="19050" t="0" r="0" b="0"/>
                                  <wp:docPr id="359"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1"/>
                                          <a:srcRect/>
                                          <a:stretch>
                                            <a:fillRect/>
                                          </a:stretch>
                                        </pic:blipFill>
                                        <pic:spPr bwMode="auto">
                                          <a:xfrm>
                                            <a:off x="0" y="0"/>
                                            <a:ext cx="1590040" cy="1330960"/>
                                          </a:xfrm>
                                          <a:prstGeom prst="rect">
                                            <a:avLst/>
                                          </a:prstGeom>
                                          <a:noFill/>
                                          <a:ln w="9525">
                                            <a:noFill/>
                                            <a:miter lim="800000"/>
                                            <a:headEnd/>
                                            <a:tailEnd/>
                                          </a:ln>
                                        </pic:spPr>
                                      </pic:pic>
                                    </a:graphicData>
                                  </a:graphic>
                                </wp:inline>
                              </w:drawing>
                            </w:r>
                          </w:p>
                          <w:p w:rsidR="00545F16" w:rsidRPr="005520F2" w:rsidRDefault="00545F16" w:rsidP="00545F16">
                            <w:pPr>
                              <w:pStyle w:val="Bijschrift"/>
                            </w:pPr>
                            <w:bookmarkStart w:id="10" w:name="_Ref150259049"/>
                            <w:r>
                              <w:t xml:space="preserve">diagram </w:t>
                            </w:r>
                            <w:r w:rsidR="0051067E">
                              <w:fldChar w:fldCharType="begin"/>
                            </w:r>
                            <w:r w:rsidR="0051067E">
                              <w:instrText xml:space="preserve"> SEQ diagram \* ARABIC </w:instrText>
                            </w:r>
                            <w:r w:rsidR="0051067E">
                              <w:fldChar w:fldCharType="separate"/>
                            </w:r>
                            <w:r>
                              <w:rPr>
                                <w:noProof/>
                              </w:rPr>
                              <w:t>11</w:t>
                            </w:r>
                            <w:r w:rsidR="0051067E">
                              <w:rPr>
                                <w:noProof/>
                              </w:rPr>
                              <w:fldChar w:fldCharType="end"/>
                            </w:r>
                            <w:bookmarkEnd w:id="10"/>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5.15pt;margin-top:1.3pt;width:141.15pt;height:128.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" stroked="f">
                <v:textbox style="mso-fit-shape-to-text:t">
                  <w:txbxContent>
                    <w:p w:rsidR="00545F16" w:rsidRDefault="00545F16" w:rsidP="00545F16">
                      <w:r>
                        <w:rPr>
                          <w:noProof/>
                        </w:rPr>
                        <w:drawing>
                          <wp:inline distT="0" distB="0" distL="0" distR="0" wp14:anchorId="08843BAF" wp14:editId="53F26EA2">
                            <wp:extent cx="1590040" cy="1330960"/>
                            <wp:effectExtent l="19050" t="0" r="0" b="0"/>
                            <wp:docPr id="359"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1"/>
                                    <a:srcRect/>
                                    <a:stretch>
                                      <a:fillRect/>
                                    </a:stretch>
                                  </pic:blipFill>
                                  <pic:spPr bwMode="auto">
                                    <a:xfrm>
                                      <a:off x="0" y="0"/>
                                      <a:ext cx="1590040" cy="1330960"/>
                                    </a:xfrm>
                                    <a:prstGeom prst="rect">
                                      <a:avLst/>
                                    </a:prstGeom>
                                    <a:noFill/>
                                    <a:ln w="9525">
                                      <a:noFill/>
                                      <a:miter lim="800000"/>
                                      <a:headEnd/>
                                      <a:tailEnd/>
                                    </a:ln>
                                  </pic:spPr>
                                </pic:pic>
                              </a:graphicData>
                            </a:graphic>
                          </wp:inline>
                        </w:drawing>
                      </w:r>
                    </w:p>
                    <w:p w:rsidR="00545F16" w:rsidRPr="005520F2" w:rsidRDefault="00545F16" w:rsidP="00545F16">
                      <w:pPr>
                        <w:pStyle w:val="Bijschrift"/>
                      </w:pPr>
                      <w:bookmarkStart w:id="11" w:name="_Ref150259049"/>
                      <w:r>
                        <w:t xml:space="preserve">diagram </w:t>
                      </w:r>
                      <w:r w:rsidR="0051067E">
                        <w:fldChar w:fldCharType="begin"/>
                      </w:r>
                      <w:r w:rsidR="0051067E">
                        <w:instrText xml:space="preserve"> SEQ diagram \* ARABIC </w:instrText>
                      </w:r>
                      <w:r w:rsidR="0051067E">
                        <w:fldChar w:fldCharType="separate"/>
                      </w:r>
                      <w:r>
                        <w:rPr>
                          <w:noProof/>
                        </w:rPr>
                        <w:t>11</w:t>
                      </w:r>
                      <w:r w:rsidR="0051067E">
                        <w:rPr>
                          <w:noProof/>
                        </w:rPr>
                        <w:fldChar w:fldCharType="end"/>
                      </w:r>
                      <w:bookmarkEnd w:id="11"/>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3723005</wp:posOffset>
                </wp:positionH>
                <wp:positionV relativeFrom="paragraph">
                  <wp:posOffset>16510</wp:posOffset>
                </wp:positionV>
                <wp:extent cx="1993265" cy="1657350"/>
                <wp:effectExtent l="3175" t="3810" r="3810" b="0"/>
                <wp:wrapSquare wrapText="bothSides"/>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165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5F16" w:rsidRDefault="00545F16" w:rsidP="00545F16">
                            <w:r>
                              <w:rPr>
                                <w:noProof/>
                              </w:rPr>
                              <w:drawing>
                                <wp:inline distT="0" distB="0" distL="0" distR="0" wp14:anchorId="582B53D2" wp14:editId="113B89EA">
                                  <wp:extent cx="1788160" cy="1358265"/>
                                  <wp:effectExtent l="19050" t="0" r="2540" b="0"/>
                                  <wp:docPr id="360"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2"/>
                                          <a:srcRect/>
                                          <a:stretch>
                                            <a:fillRect/>
                                          </a:stretch>
                                        </pic:blipFill>
                                        <pic:spPr bwMode="auto">
                                          <a:xfrm>
                                            <a:off x="0" y="0"/>
                                            <a:ext cx="1788160" cy="1358265"/>
                                          </a:xfrm>
                                          <a:prstGeom prst="rect">
                                            <a:avLst/>
                                          </a:prstGeom>
                                          <a:noFill/>
                                          <a:ln w="9525">
                                            <a:noFill/>
                                            <a:miter lim="800000"/>
                                            <a:headEnd/>
                                            <a:tailEnd/>
                                          </a:ln>
                                        </pic:spPr>
                                      </pic:pic>
                                    </a:graphicData>
                                  </a:graphic>
                                </wp:inline>
                              </w:drawing>
                            </w:r>
                          </w:p>
                          <w:p w:rsidR="00545F16" w:rsidRPr="00232CBE" w:rsidRDefault="00545F16" w:rsidP="00545F16">
                            <w:pPr>
                              <w:pStyle w:val="Bijschrift"/>
                            </w:pPr>
                            <w:bookmarkStart w:id="12" w:name="_Ref150259071"/>
                            <w:r>
                              <w:t xml:space="preserve">diagram </w:t>
                            </w:r>
                            <w:r w:rsidR="0051067E">
                              <w:fldChar w:fldCharType="begin"/>
                            </w:r>
                            <w:r w:rsidR="0051067E">
                              <w:instrText xml:space="preserve"> SEQ diagram \* ARABIC </w:instrText>
                            </w:r>
                            <w:r w:rsidR="0051067E">
                              <w:fldChar w:fldCharType="separate"/>
                            </w:r>
                            <w:r>
                              <w:rPr>
                                <w:noProof/>
                              </w:rPr>
                              <w:t>12</w:t>
                            </w:r>
                            <w:r w:rsidR="0051067E">
                              <w:rPr>
                                <w:noProof/>
                              </w:rPr>
                              <w:fldChar w:fldCharType="end"/>
                            </w:r>
                            <w:bookmarkEnd w:id="12"/>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kstvak 1" o:spid="_x0000_s1027" type="#_x0000_t202" style="position:absolute;margin-left:293.15pt;margin-top:1.3pt;width:156.95pt;height:130.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" stroked="f">
                <v:textbox style="mso-fit-shape-to-text:t">
                  <w:txbxContent>
                    <w:p w:rsidR="00545F16" w:rsidRDefault="00545F16" w:rsidP="00545F16">
                      <w:r>
                        <w:rPr>
                          <w:noProof/>
                        </w:rPr>
                        <w:drawing>
                          <wp:inline distT="0" distB="0" distL="0" distR="0" wp14:anchorId="582B53D2" wp14:editId="113B89EA">
                            <wp:extent cx="1788160" cy="1358265"/>
                            <wp:effectExtent l="19050" t="0" r="2540" b="0"/>
                            <wp:docPr id="360"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2"/>
                                    <a:srcRect/>
                                    <a:stretch>
                                      <a:fillRect/>
                                    </a:stretch>
                                  </pic:blipFill>
                                  <pic:spPr bwMode="auto">
                                    <a:xfrm>
                                      <a:off x="0" y="0"/>
                                      <a:ext cx="1788160" cy="1358265"/>
                                    </a:xfrm>
                                    <a:prstGeom prst="rect">
                                      <a:avLst/>
                                    </a:prstGeom>
                                    <a:noFill/>
                                    <a:ln w="9525">
                                      <a:noFill/>
                                      <a:miter lim="800000"/>
                                      <a:headEnd/>
                                      <a:tailEnd/>
                                    </a:ln>
                                  </pic:spPr>
                                </pic:pic>
                              </a:graphicData>
                            </a:graphic>
                          </wp:inline>
                        </w:drawing>
                      </w:r>
                    </w:p>
                    <w:p w:rsidR="00545F16" w:rsidRPr="00232CBE" w:rsidRDefault="00545F16" w:rsidP="00545F16">
                      <w:pPr>
                        <w:pStyle w:val="Bijschrift"/>
                      </w:pPr>
                      <w:bookmarkStart w:id="13" w:name="_Ref150259071"/>
                      <w:r>
                        <w:t xml:space="preserve">diagram </w:t>
                      </w:r>
                      <w:r w:rsidR="0051067E">
                        <w:fldChar w:fldCharType="begin"/>
                      </w:r>
                      <w:r w:rsidR="0051067E">
                        <w:instrText xml:space="preserve"> SEQ diagram \* ARABIC </w:instrText>
                      </w:r>
                      <w:r w:rsidR="0051067E">
                        <w:fldChar w:fldCharType="separate"/>
                      </w:r>
                      <w:r>
                        <w:rPr>
                          <w:noProof/>
                        </w:rPr>
                        <w:t>12</w:t>
                      </w:r>
                      <w:r w:rsidR="0051067E">
                        <w:rPr>
                          <w:noProof/>
                        </w:rPr>
                        <w:fldChar w:fldCharType="end"/>
                      </w:r>
                      <w:bookmarkEnd w:id="13"/>
                    </w:p>
                  </w:txbxContent>
                </v:textbox>
                <w10:wrap type="square"/>
              </v:shape>
            </w:pict>
          </mc:Fallback>
        </mc:AlternateContent>
      </w:r>
    </w:p>
    <w:p w:rsidR="00545F16" w:rsidRPr="00D62E83" w:rsidRDefault="00545F16" w:rsidP="00545F16"/>
    <w:p w:rsidR="00545F16" w:rsidRPr="00D62E83" w:rsidRDefault="00545F16" w:rsidP="00545F16"/>
    <w:p w:rsidR="00545F16" w:rsidRPr="00D62E83" w:rsidRDefault="00545F16" w:rsidP="00545F16"/>
    <w:p w:rsidR="00545F16" w:rsidRPr="00D62E83" w:rsidRDefault="00545F16" w:rsidP="00545F16"/>
    <w:p w:rsidR="00545F16" w:rsidRPr="00D62E83" w:rsidRDefault="00545F16" w:rsidP="00545F16"/>
    <w:p w:rsidR="00545F16" w:rsidRPr="00D62E83" w:rsidRDefault="00545F16" w:rsidP="00545F16"/>
    <w:p w:rsidR="00545F16" w:rsidRPr="00D62E83" w:rsidRDefault="00545F16" w:rsidP="00545F16"/>
    <w:p w:rsidR="00545F16" w:rsidRPr="00D62E83" w:rsidRDefault="00545F16" w:rsidP="00545F16"/>
    <w:p w:rsidR="00545F16" w:rsidRDefault="00545F16" w:rsidP="00545F16"/>
    <w:p w:rsidR="00545F16" w:rsidRPr="00D62E83" w:rsidRDefault="00545F16" w:rsidP="00545F16">
      <w:r w:rsidRPr="00D62E83">
        <w:t xml:space="preserve">Uit </w:t>
      </w:r>
      <w:r w:rsidR="0051067E">
        <w:fldChar w:fldCharType="begin"/>
      </w:r>
      <w:r w:rsidR="0051067E">
        <w:instrText xml:space="preserve"> REF _Ref150259071  \* MERGEFORMAT </w:instrText>
      </w:r>
      <w:r w:rsidR="0051067E">
        <w:fldChar w:fldCharType="separate"/>
      </w:r>
      <w:r w:rsidRPr="00D62E83">
        <w:t>diagram 12</w:t>
      </w:r>
      <w:r w:rsidR="0051067E">
        <w:fldChar w:fldCharType="end"/>
      </w:r>
      <w:r w:rsidRPr="00D62E83">
        <w:t xml:space="preserve"> blijkt dat binnen de grenzen van de meetnauwkeurigheid de bovenbedoelde verwaarlozing in dit geval is toegestaan.</w:t>
      </w:r>
    </w:p>
    <w:p w:rsidR="00545F16" w:rsidRPr="00E15BAA" w:rsidRDefault="00545F16" w:rsidP="00545F16">
      <w:pPr>
        <w:pStyle w:val="CSElijst"/>
        <w:numPr>
          <w:ilvl w:val="0"/>
          <w:numId w:val="7"/>
        </w:numPr>
        <w:ind w:left="0" w:hanging="709"/>
        <w:rPr>
          <w:lang w:val="nl-NL"/>
        </w:rPr>
      </w:pPr>
      <w:r w:rsidRPr="00E15BAA">
        <w:rPr>
          <w:lang w:val="nl-NL"/>
        </w:rPr>
        <w:t xml:space="preserve">Leg uit hoe dat uit </w:t>
      </w:r>
      <w:r>
        <w:fldChar w:fldCharType="begin"/>
      </w:r>
      <w:r w:rsidRPr="00E15BAA">
        <w:rPr>
          <w:lang w:val="nl-NL"/>
        </w:rPr>
        <w:instrText xml:space="preserve"> REF _Ref150259071  \* MERGEFORMAT </w:instrText>
      </w:r>
      <w:r>
        <w:fldChar w:fldCharType="separate"/>
      </w:r>
      <w:r w:rsidRPr="00E15BAA">
        <w:rPr>
          <w:lang w:val="nl-NL"/>
        </w:rPr>
        <w:t>diagram 12</w:t>
      </w:r>
      <w:r>
        <w:fldChar w:fldCharType="end"/>
      </w:r>
      <w:r w:rsidRPr="00E15BAA">
        <w:rPr>
          <w:lang w:val="nl-NL"/>
        </w:rPr>
        <w:t xml:space="preserve"> blijkt.</w:t>
      </w:r>
    </w:p>
    <w:p w:rsidR="00545F16" w:rsidRPr="00D62E83" w:rsidRDefault="00545F16" w:rsidP="00545F16">
      <w:r w:rsidRPr="00D62E83">
        <w:t xml:space="preserve">Voor de titratie van een liter 0,100 molair </w:t>
      </w:r>
      <w:proofErr w:type="spellStart"/>
      <w:r w:rsidRPr="00D62E83">
        <w:t>butaandizuur</w:t>
      </w:r>
      <w:proofErr w:type="spellEnd"/>
      <w:r w:rsidRPr="00D62E83">
        <w:t>, H</w:t>
      </w:r>
      <w:r w:rsidRPr="00D62E83">
        <w:rPr>
          <w:vertAlign w:val="subscript"/>
        </w:rPr>
        <w:t>2</w:t>
      </w:r>
      <w:r w:rsidRPr="00D62E83">
        <w:t>Z, met een oplossing van natriumhydroxide zijn in één diagram (</w:t>
      </w:r>
      <w:r w:rsidR="0051067E">
        <w:fldChar w:fldCharType="begin"/>
      </w:r>
      <w:r w:rsidR="0051067E">
        <w:instrText xml:space="preserve"> REF _Ref150259398  \* MERGEFORMAT </w:instrText>
      </w:r>
      <w:r w:rsidR="0051067E">
        <w:fldChar w:fldCharType="separate"/>
      </w:r>
      <w:r w:rsidRPr="00D62E83">
        <w:t>diagram 13</w:t>
      </w:r>
      <w:r w:rsidR="0051067E">
        <w:fldChar w:fldCharType="end"/>
      </w:r>
      <w:r w:rsidRPr="00D62E83">
        <w:t>) uitgezet:</w:t>
      </w:r>
    </w:p>
    <w:p w:rsidR="00545F16" w:rsidRPr="00D62E83" w:rsidRDefault="00545F16" w:rsidP="00545F16">
      <w:r w:rsidRPr="00D62E83">
        <w:t>- de pH van de oplossing tegen het aantal mol toegevoegd natriumhydroxide;</w:t>
      </w:r>
    </w:p>
    <w:p w:rsidR="00545F16" w:rsidRPr="00D62E83" w:rsidRDefault="00545F16" w:rsidP="00545F16">
      <w:r w:rsidRPr="00D62E83">
        <w:t>- het aantal mol van elk van de in de oplossing aanwezige zuren en geconjugeerde basen, eveneens tegen het aantal mol toegevoegd natriumhydroxide.</w:t>
      </w:r>
    </w:p>
    <w:p w:rsidR="00545F16" w:rsidRPr="00D62E83" w:rsidRDefault="00545F16" w:rsidP="00545F16">
      <w:pPr>
        <w:pStyle w:val="Interlinie"/>
      </w:pPr>
      <w:r w:rsidRPr="00D62E83">
        <w:rPr>
          <w:noProof/>
        </w:rPr>
        <w:drawing>
          <wp:inline distT="0" distB="0" distL="0" distR="0" wp14:anchorId="014350D9" wp14:editId="0E814EAE">
            <wp:extent cx="3564000" cy="3111016"/>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 cstate="print"/>
                    <a:srcRect/>
                    <a:stretch>
                      <a:fillRect/>
                    </a:stretch>
                  </pic:blipFill>
                  <pic:spPr bwMode="auto">
                    <a:xfrm>
                      <a:off x="0" y="0"/>
                      <a:ext cx="3584575" cy="3128976"/>
                    </a:xfrm>
                    <a:prstGeom prst="rect">
                      <a:avLst/>
                    </a:prstGeom>
                    <a:noFill/>
                    <a:ln w="9525">
                      <a:noFill/>
                      <a:miter lim="800000"/>
                      <a:headEnd/>
                      <a:tailEnd/>
                    </a:ln>
                  </pic:spPr>
                </pic:pic>
              </a:graphicData>
            </a:graphic>
          </wp:inline>
        </w:drawing>
      </w:r>
    </w:p>
    <w:p w:rsidR="00545F16" w:rsidRPr="00D62E83" w:rsidRDefault="00545F16" w:rsidP="00545F16">
      <w:pPr>
        <w:pStyle w:val="Bijschrift"/>
        <w:rPr>
          <w:szCs w:val="22"/>
        </w:rPr>
      </w:pPr>
      <w:bookmarkStart w:id="14" w:name="_Ref150259398"/>
      <w:r w:rsidRPr="00D62E83">
        <w:t xml:space="preserve">diagram </w:t>
      </w:r>
      <w:r w:rsidR="0051067E">
        <w:fldChar w:fldCharType="begin"/>
      </w:r>
      <w:r w:rsidR="0051067E">
        <w:instrText xml:space="preserve"> SEQ diagram \* AR</w:instrText>
      </w:r>
      <w:r w:rsidR="0051067E">
        <w:instrText xml:space="preserve">ABIC </w:instrText>
      </w:r>
      <w:r w:rsidR="0051067E">
        <w:fldChar w:fldCharType="separate"/>
      </w:r>
      <w:r w:rsidRPr="00D62E83">
        <w:t>13</w:t>
      </w:r>
      <w:r w:rsidR="0051067E">
        <w:fldChar w:fldCharType="end"/>
      </w:r>
      <w:bookmarkEnd w:id="14"/>
    </w:p>
    <w:p w:rsidR="00545F16" w:rsidRPr="00D62E83" w:rsidRDefault="00545F16" w:rsidP="00545F16">
      <w:pPr>
        <w:pStyle w:val="Interlinie"/>
      </w:pPr>
      <w:r w:rsidRPr="00D62E83">
        <w:lastRenderedPageBreak/>
        <w:t xml:space="preserve">Uit </w:t>
      </w:r>
      <w:r w:rsidR="0051067E">
        <w:fldChar w:fldCharType="begin"/>
      </w:r>
      <w:r w:rsidR="0051067E">
        <w:instrText xml:space="preserve"> REF _Ref150259398  \* MERGEFORMAT </w:instrText>
      </w:r>
      <w:r w:rsidR="0051067E">
        <w:fldChar w:fldCharType="separate"/>
      </w:r>
      <w:r w:rsidRPr="00D62E83">
        <w:t>diagram 13</w:t>
      </w:r>
      <w:r w:rsidR="0051067E">
        <w:fldChar w:fldCharType="end"/>
      </w:r>
      <w:r w:rsidRPr="00D62E83">
        <w:t xml:space="preserve"> is af te leiden hoeveel mol natriumhydroxide moet worden toegevoegd om een oplossing te krijgen waarvoor geldt:</w:t>
      </w:r>
    </w:p>
    <w:p w:rsidR="00545F16" w:rsidRPr="00D62E83" w:rsidRDefault="00545F16" w:rsidP="00545F16">
      <w:pPr>
        <w:pStyle w:val="Interlinie"/>
      </w:pPr>
      <w:proofErr w:type="spellStart"/>
      <w:r w:rsidRPr="00D62E83">
        <w:t>p</w:t>
      </w:r>
      <w:r w:rsidRPr="00D62E83">
        <w:rPr>
          <w:i/>
        </w:rPr>
        <w:t>K</w:t>
      </w:r>
      <w:proofErr w:type="spellEnd"/>
      <w:r w:rsidRPr="00D62E83">
        <w:t>(HZ</w:t>
      </w:r>
      <w:r w:rsidRPr="00D62E83">
        <w:rPr>
          <w:vertAlign w:val="superscript"/>
        </w:rPr>
        <w:sym w:font="Symbol" w:char="F02D"/>
      </w:r>
      <w:r w:rsidRPr="00D62E83">
        <w:t>) = pH (</w:t>
      </w:r>
      <w:proofErr w:type="spellStart"/>
      <w:r w:rsidRPr="00D62E83">
        <w:t>p</w:t>
      </w:r>
      <w:r w:rsidRPr="00D62E83">
        <w:rPr>
          <w:i/>
        </w:rPr>
        <w:t>K</w:t>
      </w:r>
      <w:proofErr w:type="spellEnd"/>
      <w:r w:rsidRPr="00D62E83">
        <w:t>(HZ</w:t>
      </w:r>
      <w:r w:rsidRPr="00D62E83">
        <w:rPr>
          <w:vertAlign w:val="superscript"/>
        </w:rPr>
        <w:sym w:font="Symbol" w:char="F02D"/>
      </w:r>
      <w:r w:rsidRPr="00D62E83">
        <w:t xml:space="preserve">) is de </w:t>
      </w:r>
      <w:proofErr w:type="spellStart"/>
      <w:r w:rsidRPr="00D62E83">
        <w:rPr>
          <w:iCs/>
        </w:rPr>
        <w:t>p</w:t>
      </w:r>
      <w:r w:rsidRPr="00D62E83">
        <w:rPr>
          <w:i/>
          <w:iCs/>
        </w:rPr>
        <w:t>K</w:t>
      </w:r>
      <w:r w:rsidRPr="00D62E83">
        <w:rPr>
          <w:iCs/>
          <w:vertAlign w:val="subscript"/>
        </w:rPr>
        <w:t>z</w:t>
      </w:r>
      <w:proofErr w:type="spellEnd"/>
      <w:r w:rsidRPr="00D62E83">
        <w:rPr>
          <w:i/>
          <w:iCs/>
        </w:rPr>
        <w:t xml:space="preserve"> </w:t>
      </w:r>
      <w:r w:rsidRPr="00D62E83">
        <w:t>van HZ</w:t>
      </w:r>
      <w:r w:rsidRPr="00D62E83">
        <w:rPr>
          <w:vertAlign w:val="superscript"/>
        </w:rPr>
        <w:sym w:font="Symbol" w:char="F02D"/>
      </w:r>
      <w:r w:rsidRPr="00D62E83">
        <w:t>)</w:t>
      </w:r>
    </w:p>
    <w:p w:rsidR="00545F16" w:rsidRPr="00D62E83" w:rsidRDefault="00545F16" w:rsidP="00545F16">
      <w:pPr>
        <w:pStyle w:val="CSElijst"/>
        <w:numPr>
          <w:ilvl w:val="0"/>
          <w:numId w:val="7"/>
        </w:numPr>
        <w:ind w:left="0" w:hanging="709"/>
      </w:pPr>
      <w:r w:rsidRPr="00E15BAA">
        <w:rPr>
          <w:lang w:val="nl-NL"/>
        </w:rPr>
        <w:t xml:space="preserve">Bij hoeveel mol toegevoegd natriumhydroxide is </w:t>
      </w:r>
      <w:proofErr w:type="spellStart"/>
      <w:r w:rsidRPr="00E15BAA">
        <w:rPr>
          <w:lang w:val="nl-NL"/>
        </w:rPr>
        <w:t>p</w:t>
      </w:r>
      <w:r w:rsidRPr="00E15BAA">
        <w:rPr>
          <w:i/>
          <w:lang w:val="nl-NL"/>
        </w:rPr>
        <w:t>K</w:t>
      </w:r>
      <w:proofErr w:type="spellEnd"/>
      <w:r w:rsidRPr="00E15BAA">
        <w:rPr>
          <w:lang w:val="nl-NL"/>
        </w:rPr>
        <w:t>(HZ</w:t>
      </w:r>
      <w:r w:rsidRPr="00D62E83">
        <w:rPr>
          <w:vertAlign w:val="superscript"/>
        </w:rPr>
        <w:sym w:font="Symbol" w:char="F02D"/>
      </w:r>
      <w:r w:rsidRPr="00E15BAA">
        <w:rPr>
          <w:lang w:val="nl-NL"/>
        </w:rPr>
        <w:t xml:space="preserve">) = pH? </w:t>
      </w:r>
      <w:r w:rsidRPr="00D62E83">
        <w:t>Licht het antwoord toe.</w:t>
      </w:r>
    </w:p>
    <w:p w:rsidR="00545F16" w:rsidRPr="00D62E83" w:rsidRDefault="00545F16" w:rsidP="00545F16">
      <w:r w:rsidRPr="00D62E83">
        <w:t xml:space="preserve">Bij andere waarden van de hoeveelheid toegevoegd natriumhydroxide is met behulp van gegevens uit </w:t>
      </w:r>
      <w:r w:rsidR="0051067E">
        <w:fldChar w:fldCharType="begin"/>
      </w:r>
      <w:r w:rsidR="0051067E">
        <w:instrText xml:space="preserve"> REF _Ref150259398  \* MERGEFORMAT </w:instrText>
      </w:r>
      <w:r w:rsidR="0051067E">
        <w:fldChar w:fldCharType="separate"/>
      </w:r>
      <w:r w:rsidRPr="00D62E83">
        <w:t>diagram 13</w:t>
      </w:r>
      <w:r w:rsidR="0051067E">
        <w:fldChar w:fldCharType="end"/>
      </w:r>
      <w:r w:rsidRPr="00D62E83">
        <w:t xml:space="preserve"> deze </w:t>
      </w:r>
      <w:proofErr w:type="spellStart"/>
      <w:r w:rsidRPr="00D62E83">
        <w:t>p</w:t>
      </w:r>
      <w:r w:rsidRPr="00D62E83">
        <w:rPr>
          <w:i/>
        </w:rPr>
        <w:t>K</w:t>
      </w:r>
      <w:proofErr w:type="spellEnd"/>
      <w:r w:rsidRPr="00D62E83">
        <w:t>(HZ</w:t>
      </w:r>
      <w:r w:rsidRPr="00D62E83">
        <w:rPr>
          <w:vertAlign w:val="superscript"/>
        </w:rPr>
        <w:sym w:font="Symbol" w:char="F02D"/>
      </w:r>
      <w:r w:rsidRPr="00D62E83">
        <w:t>) ook te berekenen.</w:t>
      </w:r>
    </w:p>
    <w:p w:rsidR="00BC18B7" w:rsidRDefault="00545F16" w:rsidP="0051067E">
      <w:pPr>
        <w:pStyle w:val="CSElijst"/>
        <w:numPr>
          <w:ilvl w:val="0"/>
          <w:numId w:val="7"/>
        </w:numPr>
        <w:ind w:left="0" w:hanging="709"/>
      </w:pPr>
      <w:r w:rsidRPr="00E15BAA">
        <w:rPr>
          <w:lang w:val="nl-NL"/>
        </w:rPr>
        <w:t xml:space="preserve">Bereken </w:t>
      </w:r>
      <w:proofErr w:type="spellStart"/>
      <w:r w:rsidRPr="00E15BAA">
        <w:rPr>
          <w:lang w:val="nl-NL"/>
        </w:rPr>
        <w:t>p</w:t>
      </w:r>
      <w:r w:rsidRPr="0051067E">
        <w:rPr>
          <w:i/>
          <w:lang w:val="nl-NL"/>
        </w:rPr>
        <w:t>K</w:t>
      </w:r>
      <w:proofErr w:type="spellEnd"/>
      <w:r w:rsidRPr="00E15BAA">
        <w:rPr>
          <w:lang w:val="nl-NL"/>
        </w:rPr>
        <w:t>(HZ</w:t>
      </w:r>
      <w:r w:rsidRPr="00D62E83">
        <w:rPr>
          <w:vertAlign w:val="superscript"/>
        </w:rPr>
        <w:sym w:font="Symbol" w:char="F02D"/>
      </w:r>
      <w:r w:rsidRPr="00E15BAA">
        <w:rPr>
          <w:lang w:val="nl-NL"/>
        </w:rPr>
        <w:t xml:space="preserve">) uit de gegevens die uit </w:t>
      </w:r>
      <w:r>
        <w:fldChar w:fldCharType="begin"/>
      </w:r>
      <w:r w:rsidRPr="00E15BAA">
        <w:rPr>
          <w:lang w:val="nl-NL"/>
        </w:rPr>
        <w:instrText xml:space="preserve"> REF _Ref150259398  \* MERGEFORMAT </w:instrText>
      </w:r>
      <w:r>
        <w:fldChar w:fldCharType="separate"/>
      </w:r>
      <w:r w:rsidRPr="00E15BAA">
        <w:rPr>
          <w:lang w:val="nl-NL"/>
        </w:rPr>
        <w:t>diagram 13</w:t>
      </w:r>
      <w:r>
        <w:fldChar w:fldCharType="end"/>
      </w:r>
      <w:bookmarkStart w:id="15" w:name="_GoBack"/>
      <w:bookmarkEnd w:id="15"/>
      <w:r w:rsidRPr="00E15BAA">
        <w:rPr>
          <w:lang w:val="nl-NL"/>
        </w:rPr>
        <w:t xml:space="preserve"> afgelezen kunnen worden als</w:t>
      </w:r>
      <w:r w:rsidRPr="00E15BAA">
        <w:rPr>
          <w:lang w:val="nl-NL"/>
        </w:rPr>
        <w:br/>
        <w:t>0,090 mol natriumhydroxide is toegevoegd.</w:t>
      </w:r>
    </w:p>
    <w:sectPr w:rsidR="00BC18B7" w:rsidSect="00B50069">
      <w:footerReference w:type="default" r:id="rId24"/>
      <w:pgSz w:w="11904" w:h="16843"/>
      <w:pgMar w:top="1418" w:right="1418" w:bottom="1418" w:left="1416" w:header="709" w:footer="709" w:gutter="0"/>
      <w:pgNumType w:start="1"/>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1B35" w:rsidRDefault="001F1B35">
      <w:r>
        <w:separator/>
      </w:r>
    </w:p>
  </w:endnote>
  <w:endnote w:type="continuationSeparator" w:id="0">
    <w:p w:rsidR="001F1B35" w:rsidRDefault="001F1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7226400"/>
      <w:docPartObj>
        <w:docPartGallery w:val="Page Numbers (Bottom of Page)"/>
        <w:docPartUnique/>
      </w:docPartObj>
    </w:sdtPr>
    <w:sdtEndPr/>
    <w:sdtContent>
      <w:p w:rsidR="00B50069" w:rsidRPr="00D076A7" w:rsidRDefault="00B50069">
        <w:pPr>
          <w:pStyle w:val="Voettekst"/>
        </w:pPr>
        <w:proofErr w:type="spellStart"/>
        <w:r w:rsidRPr="00D076A7">
          <w:t>Sk</w:t>
        </w:r>
        <w:proofErr w:type="spellEnd"/>
        <w:r w:rsidRPr="00D076A7">
          <w:t>-VWO 1983-</w:t>
        </w:r>
        <w:r>
          <w:t>II</w:t>
        </w:r>
        <w:r w:rsidRPr="00D076A7">
          <w:t> </w:t>
        </w:r>
        <w:proofErr w:type="spellStart"/>
        <w:r w:rsidR="0051067E">
          <w:rPr>
            <w:lang w:val="en-US"/>
          </w:rPr>
          <w:t>opgaven</w:t>
        </w:r>
        <w:proofErr w:type="spellEnd"/>
        <w:r w:rsidRPr="00D076A7">
          <w:t>_</w:t>
        </w:r>
        <w:proofErr w:type="spellStart"/>
        <w:r w:rsidRPr="00D076A7">
          <w:t>PdG</w:t>
        </w:r>
        <w:proofErr w:type="spellEnd"/>
        <w:r>
          <w:t xml:space="preserve">, </w:t>
        </w:r>
        <w:r w:rsidRPr="00D076A7">
          <w:t>juli 2017</w:t>
        </w:r>
        <w:r>
          <w:tab/>
        </w:r>
        <w:r>
          <w:fldChar w:fldCharType="begin"/>
        </w:r>
        <w:r>
          <w:instrText>PAGE   \* MERGEFORMAT</w:instrText>
        </w:r>
        <w:r>
          <w:fldChar w:fldCharType="separate"/>
        </w:r>
        <w:r w:rsidR="0051067E">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1B35" w:rsidRDefault="001F1B35">
      <w:r>
        <w:separator/>
      </w:r>
    </w:p>
  </w:footnote>
  <w:footnote w:type="continuationSeparator" w:id="0">
    <w:p w:rsidR="001F1B35" w:rsidRDefault="001F1B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A4979"/>
    <w:multiLevelType w:val="hybridMultilevel"/>
    <w:tmpl w:val="29088B6C"/>
    <w:lvl w:ilvl="0" w:tplc="477CDCF6">
      <w:start w:val="1"/>
      <w:numFmt w:val="bullet"/>
      <w:pStyle w:val="Stip"/>
      <w:lvlText w:val=""/>
      <w:lvlJc w:val="left"/>
      <w:pPr>
        <w:ind w:left="936" w:hanging="360"/>
      </w:pPr>
      <w:rPr>
        <w:rFonts w:ascii="Symbol" w:hAnsi="Symbol" w:hint="default"/>
      </w:rPr>
    </w:lvl>
    <w:lvl w:ilvl="1" w:tplc="04130003" w:tentative="1">
      <w:start w:val="1"/>
      <w:numFmt w:val="bullet"/>
      <w:lvlText w:val="o"/>
      <w:lvlJc w:val="left"/>
      <w:pPr>
        <w:ind w:left="1656" w:hanging="360"/>
      </w:pPr>
      <w:rPr>
        <w:rFonts w:ascii="Courier New" w:hAnsi="Courier New" w:cs="Courier New" w:hint="default"/>
      </w:rPr>
    </w:lvl>
    <w:lvl w:ilvl="2" w:tplc="04130005" w:tentative="1">
      <w:start w:val="1"/>
      <w:numFmt w:val="bullet"/>
      <w:lvlText w:val=""/>
      <w:lvlJc w:val="left"/>
      <w:pPr>
        <w:ind w:left="2376" w:hanging="360"/>
      </w:pPr>
      <w:rPr>
        <w:rFonts w:ascii="Wingdings" w:hAnsi="Wingdings" w:hint="default"/>
      </w:rPr>
    </w:lvl>
    <w:lvl w:ilvl="3" w:tplc="04130001" w:tentative="1">
      <w:start w:val="1"/>
      <w:numFmt w:val="bullet"/>
      <w:lvlText w:val=""/>
      <w:lvlJc w:val="left"/>
      <w:pPr>
        <w:ind w:left="3096" w:hanging="360"/>
      </w:pPr>
      <w:rPr>
        <w:rFonts w:ascii="Symbol" w:hAnsi="Symbol" w:hint="default"/>
      </w:rPr>
    </w:lvl>
    <w:lvl w:ilvl="4" w:tplc="04130003" w:tentative="1">
      <w:start w:val="1"/>
      <w:numFmt w:val="bullet"/>
      <w:lvlText w:val="o"/>
      <w:lvlJc w:val="left"/>
      <w:pPr>
        <w:ind w:left="3816" w:hanging="360"/>
      </w:pPr>
      <w:rPr>
        <w:rFonts w:ascii="Courier New" w:hAnsi="Courier New" w:cs="Courier New" w:hint="default"/>
      </w:rPr>
    </w:lvl>
    <w:lvl w:ilvl="5" w:tplc="04130005" w:tentative="1">
      <w:start w:val="1"/>
      <w:numFmt w:val="bullet"/>
      <w:lvlText w:val=""/>
      <w:lvlJc w:val="left"/>
      <w:pPr>
        <w:ind w:left="4536" w:hanging="360"/>
      </w:pPr>
      <w:rPr>
        <w:rFonts w:ascii="Wingdings" w:hAnsi="Wingdings" w:hint="default"/>
      </w:rPr>
    </w:lvl>
    <w:lvl w:ilvl="6" w:tplc="04130001" w:tentative="1">
      <w:start w:val="1"/>
      <w:numFmt w:val="bullet"/>
      <w:lvlText w:val=""/>
      <w:lvlJc w:val="left"/>
      <w:pPr>
        <w:ind w:left="5256" w:hanging="360"/>
      </w:pPr>
      <w:rPr>
        <w:rFonts w:ascii="Symbol" w:hAnsi="Symbol" w:hint="default"/>
      </w:rPr>
    </w:lvl>
    <w:lvl w:ilvl="7" w:tplc="04130003" w:tentative="1">
      <w:start w:val="1"/>
      <w:numFmt w:val="bullet"/>
      <w:lvlText w:val="o"/>
      <w:lvlJc w:val="left"/>
      <w:pPr>
        <w:ind w:left="5976" w:hanging="360"/>
      </w:pPr>
      <w:rPr>
        <w:rFonts w:ascii="Courier New" w:hAnsi="Courier New" w:cs="Courier New" w:hint="default"/>
      </w:rPr>
    </w:lvl>
    <w:lvl w:ilvl="8" w:tplc="04130005" w:tentative="1">
      <w:start w:val="1"/>
      <w:numFmt w:val="bullet"/>
      <w:lvlText w:val=""/>
      <w:lvlJc w:val="left"/>
      <w:pPr>
        <w:ind w:left="6696" w:hanging="360"/>
      </w:pPr>
      <w:rPr>
        <w:rFonts w:ascii="Wingdings" w:hAnsi="Wingdings" w:hint="default"/>
      </w:rPr>
    </w:lvl>
  </w:abstractNum>
  <w:abstractNum w:abstractNumId="1" w15:restartNumberingAfterBreak="0">
    <w:nsid w:val="02E22499"/>
    <w:multiLevelType w:val="singleLevel"/>
    <w:tmpl w:val="4BC08E7C"/>
    <w:lvl w:ilvl="0">
      <w:numFmt w:val="bullet"/>
      <w:lvlText w:val=""/>
      <w:lvlJc w:val="left"/>
      <w:pPr>
        <w:tabs>
          <w:tab w:val="num" w:pos="1584"/>
        </w:tabs>
        <w:ind w:left="1584" w:hanging="360"/>
      </w:pPr>
      <w:rPr>
        <w:rFonts w:ascii="Symbol" w:hAnsi="Symbol" w:cs="Symbol" w:hint="default"/>
        <w:snapToGrid/>
        <w:sz w:val="24"/>
        <w:szCs w:val="24"/>
      </w:rPr>
    </w:lvl>
  </w:abstractNum>
  <w:abstractNum w:abstractNumId="2" w15:restartNumberingAfterBreak="0">
    <w:nsid w:val="03FF7098"/>
    <w:multiLevelType w:val="hybridMultilevel"/>
    <w:tmpl w:val="24FE87AA"/>
    <w:lvl w:ilvl="0" w:tplc="F1C48E4E">
      <w:start w:val="1"/>
      <w:numFmt w:val="bullet"/>
      <w:pStyle w:val="Opsomming"/>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F06FEF"/>
    <w:multiLevelType w:val="hybridMultilevel"/>
    <w:tmpl w:val="AB960528"/>
    <w:lvl w:ilvl="0" w:tplc="7054A31C">
      <w:start w:val="1"/>
      <w:numFmt w:val="decimal"/>
      <w:lvlText w:val="%1  "/>
      <w:lvlJc w:val="left"/>
      <w:pPr>
        <w:ind w:left="-349" w:hanging="360"/>
      </w:pPr>
      <w:rPr>
        <w:rFonts w:hint="default"/>
      </w:r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tentative="1">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4" w15:restartNumberingAfterBreak="0">
    <w:nsid w:val="28D35698"/>
    <w:multiLevelType w:val="hybridMultilevel"/>
    <w:tmpl w:val="E31C3FBA"/>
    <w:lvl w:ilvl="0" w:tplc="3C5C2854">
      <w:start w:val="1"/>
      <w:numFmt w:val="decimal"/>
      <w:lvlText w:val="%1 "/>
      <w:lvlJc w:val="left"/>
      <w:pPr>
        <w:ind w:left="-349" w:hanging="360"/>
      </w:pPr>
      <w:rPr>
        <w:rFonts w:ascii="Times New Roman" w:hAnsi="Times New Roman" w:hint="default"/>
        <w:b/>
        <w:i w:val="0"/>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9B42AC5"/>
    <w:multiLevelType w:val="hybridMultilevel"/>
    <w:tmpl w:val="03122D6C"/>
    <w:lvl w:ilvl="0" w:tplc="0436DB4A">
      <w:start w:val="1"/>
      <w:numFmt w:val="decimal"/>
      <w:pStyle w:val="Maximumscore"/>
      <w:lvlText w:val="%1"/>
      <w:lvlJc w:val="left"/>
      <w:pPr>
        <w:ind w:left="153"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61C6FA5"/>
    <w:multiLevelType w:val="hybridMultilevel"/>
    <w:tmpl w:val="D24E7762"/>
    <w:lvl w:ilvl="0" w:tplc="546AD13C">
      <w:start w:val="1"/>
      <w:numFmt w:val="decimal"/>
      <w:pStyle w:val="VrgPnt"/>
      <w:lvlText w:val="%1 "/>
      <w:lvlJc w:val="left"/>
      <w:pPr>
        <w:ind w:left="-131"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30019" w:tentative="1">
      <w:start w:val="1"/>
      <w:numFmt w:val="lowerLetter"/>
      <w:lvlText w:val="%2."/>
      <w:lvlJc w:val="left"/>
      <w:pPr>
        <w:ind w:left="589" w:hanging="360"/>
      </w:pPr>
    </w:lvl>
    <w:lvl w:ilvl="2" w:tplc="0413001B" w:tentative="1">
      <w:start w:val="1"/>
      <w:numFmt w:val="lowerRoman"/>
      <w:lvlText w:val="%3."/>
      <w:lvlJc w:val="right"/>
      <w:pPr>
        <w:ind w:left="1309" w:hanging="180"/>
      </w:pPr>
    </w:lvl>
    <w:lvl w:ilvl="3" w:tplc="0413000F" w:tentative="1">
      <w:start w:val="1"/>
      <w:numFmt w:val="decimal"/>
      <w:lvlText w:val="%4."/>
      <w:lvlJc w:val="left"/>
      <w:pPr>
        <w:ind w:left="2029" w:hanging="360"/>
      </w:pPr>
    </w:lvl>
    <w:lvl w:ilvl="4" w:tplc="04130019" w:tentative="1">
      <w:start w:val="1"/>
      <w:numFmt w:val="lowerLetter"/>
      <w:lvlText w:val="%5."/>
      <w:lvlJc w:val="left"/>
      <w:pPr>
        <w:ind w:left="2749" w:hanging="360"/>
      </w:pPr>
    </w:lvl>
    <w:lvl w:ilvl="5" w:tplc="0413001B" w:tentative="1">
      <w:start w:val="1"/>
      <w:numFmt w:val="lowerRoman"/>
      <w:lvlText w:val="%6."/>
      <w:lvlJc w:val="right"/>
      <w:pPr>
        <w:ind w:left="3469" w:hanging="180"/>
      </w:pPr>
    </w:lvl>
    <w:lvl w:ilvl="6" w:tplc="0413000F" w:tentative="1">
      <w:start w:val="1"/>
      <w:numFmt w:val="decimal"/>
      <w:lvlText w:val="%7."/>
      <w:lvlJc w:val="left"/>
      <w:pPr>
        <w:ind w:left="4189" w:hanging="360"/>
      </w:pPr>
    </w:lvl>
    <w:lvl w:ilvl="7" w:tplc="04130019" w:tentative="1">
      <w:start w:val="1"/>
      <w:numFmt w:val="lowerLetter"/>
      <w:lvlText w:val="%8."/>
      <w:lvlJc w:val="left"/>
      <w:pPr>
        <w:ind w:left="4909" w:hanging="360"/>
      </w:pPr>
    </w:lvl>
    <w:lvl w:ilvl="8" w:tplc="0413001B" w:tentative="1">
      <w:start w:val="1"/>
      <w:numFmt w:val="lowerRoman"/>
      <w:lvlText w:val="%9."/>
      <w:lvlJc w:val="right"/>
      <w:pPr>
        <w:ind w:left="5629" w:hanging="180"/>
      </w:pPr>
    </w:lvl>
  </w:abstractNum>
  <w:abstractNum w:abstractNumId="7" w15:restartNumberingAfterBreak="0">
    <w:nsid w:val="4ADE7BCB"/>
    <w:multiLevelType w:val="hybridMultilevel"/>
    <w:tmpl w:val="2CBEE566"/>
    <w:lvl w:ilvl="0" w:tplc="0BD674FA">
      <w:numFmt w:val="bullet"/>
      <w:pStyle w:val="OpsStrp"/>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2F6330B"/>
    <w:multiLevelType w:val="hybridMultilevel"/>
    <w:tmpl w:val="C8283BDC"/>
    <w:lvl w:ilvl="0" w:tplc="B5B8D89A">
      <w:start w:val="1"/>
      <w:numFmt w:val="bullet"/>
      <w:pStyle w:val="OpsomCurs"/>
      <w:lvlText w:val="-"/>
      <w:lvlJc w:val="left"/>
      <w:pPr>
        <w:tabs>
          <w:tab w:val="num" w:pos="113"/>
        </w:tabs>
        <w:ind w:left="113" w:hanging="113"/>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6561A12"/>
    <w:multiLevelType w:val="hybridMultilevel"/>
    <w:tmpl w:val="956271EE"/>
    <w:lvl w:ilvl="0" w:tplc="2CEEEBF8">
      <w:start w:val="1"/>
      <w:numFmt w:val="decimal"/>
      <w:pStyle w:val="CSElijst"/>
      <w:lvlText w:val="%1 "/>
      <w:lvlJc w:val="left"/>
      <w:pPr>
        <w:ind w:left="-207"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EA139BB"/>
    <w:multiLevelType w:val="hybridMultilevel"/>
    <w:tmpl w:val="51CC99D2"/>
    <w:lvl w:ilvl="0" w:tplc="B2A4DC94">
      <w:start w:val="1"/>
      <w:numFmt w:val="decimal"/>
      <w:pStyle w:val="Genummerd"/>
      <w:lvlText w:val="%1"/>
      <w:lvlJc w:val="left"/>
      <w:pPr>
        <w:ind w:left="1950" w:hanging="159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10"/>
  </w:num>
  <w:num w:numId="4">
    <w:abstractNumId w:val="4"/>
  </w:num>
  <w:num w:numId="5">
    <w:abstractNumId w:val="4"/>
  </w:num>
  <w:num w:numId="6">
    <w:abstractNumId w:val="4"/>
  </w:num>
  <w:num w:numId="7">
    <w:abstractNumId w:val="9"/>
  </w:num>
  <w:num w:numId="8">
    <w:abstractNumId w:val="9"/>
  </w:num>
  <w:num w:numId="9">
    <w:abstractNumId w:val="9"/>
  </w:num>
  <w:num w:numId="10">
    <w:abstractNumId w:val="9"/>
  </w:num>
  <w:num w:numId="11">
    <w:abstractNumId w:val="9"/>
  </w:num>
  <w:num w:numId="12">
    <w:abstractNumId w:val="3"/>
  </w:num>
  <w:num w:numId="13">
    <w:abstractNumId w:val="8"/>
  </w:num>
  <w:num w:numId="14">
    <w:abstractNumId w:val="3"/>
  </w:num>
  <w:num w:numId="15">
    <w:abstractNumId w:val="0"/>
  </w:num>
  <w:num w:numId="16">
    <w:abstractNumId w:val="6"/>
  </w:num>
  <w:num w:numId="17">
    <w:abstractNumId w:val="5"/>
  </w:num>
  <w:num w:numId="18">
    <w:abstractNumId w:val="7"/>
  </w:num>
  <w:num w:numId="19">
    <w:abstractNumId w:val="9"/>
    <w:lvlOverride w:ilvl="0">
      <w:startOverride w:val="1"/>
    </w:lvlOverride>
  </w:num>
  <w:num w:numId="20">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F16"/>
    <w:rsid w:val="000016CD"/>
    <w:rsid w:val="00095AFC"/>
    <w:rsid w:val="000C024B"/>
    <w:rsid w:val="001F1B35"/>
    <w:rsid w:val="002B24C5"/>
    <w:rsid w:val="00300992"/>
    <w:rsid w:val="00331832"/>
    <w:rsid w:val="0040277F"/>
    <w:rsid w:val="00407D6E"/>
    <w:rsid w:val="00443364"/>
    <w:rsid w:val="004A0569"/>
    <w:rsid w:val="0051067E"/>
    <w:rsid w:val="00545F16"/>
    <w:rsid w:val="005B4D14"/>
    <w:rsid w:val="00672ACD"/>
    <w:rsid w:val="007040CC"/>
    <w:rsid w:val="00710734"/>
    <w:rsid w:val="007D0E50"/>
    <w:rsid w:val="00826564"/>
    <w:rsid w:val="008337B7"/>
    <w:rsid w:val="0086759D"/>
    <w:rsid w:val="0089555E"/>
    <w:rsid w:val="008B602B"/>
    <w:rsid w:val="0094045F"/>
    <w:rsid w:val="009C361C"/>
    <w:rsid w:val="009D50CF"/>
    <w:rsid w:val="00AA694C"/>
    <w:rsid w:val="00B26C89"/>
    <w:rsid w:val="00B415CC"/>
    <w:rsid w:val="00B50069"/>
    <w:rsid w:val="00BA5F2B"/>
    <w:rsid w:val="00BC0577"/>
    <w:rsid w:val="00BC0CB8"/>
    <w:rsid w:val="00BC18B7"/>
    <w:rsid w:val="00BC7B1C"/>
    <w:rsid w:val="00C057EA"/>
    <w:rsid w:val="00C72BB6"/>
    <w:rsid w:val="00CC42EC"/>
    <w:rsid w:val="00D03A11"/>
    <w:rsid w:val="00D25BCD"/>
    <w:rsid w:val="00DB311A"/>
    <w:rsid w:val="00DF3E7C"/>
    <w:rsid w:val="00E51928"/>
    <w:rsid w:val="00EC42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2"/>
    <o:shapelayout v:ext="edit">
      <o:idmap v:ext="edit" data="1"/>
    </o:shapelayout>
  </w:shapeDefaults>
  <w:decimalSymbol w:val=","/>
  <w:listSeparator w:val=";"/>
  <w14:docId w14:val="126BBAF3"/>
  <w15:chartTrackingRefBased/>
  <w15:docId w15:val="{2F9CAC69-E32F-437D-8522-C4E6CB8C9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nl-N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545F16"/>
  </w:style>
  <w:style w:type="paragraph" w:styleId="Kop1">
    <w:name w:val="heading 1"/>
    <w:basedOn w:val="Standaard"/>
    <w:next w:val="Standaard"/>
    <w:link w:val="Kop1Char"/>
    <w:qFormat/>
    <w:rsid w:val="00545F16"/>
    <w:pPr>
      <w:keepNext/>
      <w:tabs>
        <w:tab w:val="left" w:pos="-1440"/>
        <w:tab w:val="left" w:pos="-720"/>
      </w:tabs>
      <w:suppressAutoHyphens/>
      <w:spacing w:after="120"/>
      <w:outlineLvl w:val="0"/>
    </w:pPr>
    <w:rPr>
      <w:rFonts w:eastAsia="Times New Roman"/>
      <w:b/>
      <w:sz w:val="28"/>
      <w:szCs w:val="24"/>
      <w:lang w:eastAsia="nl-NL"/>
    </w:rPr>
  </w:style>
  <w:style w:type="paragraph" w:styleId="Kop2">
    <w:name w:val="heading 2"/>
    <w:basedOn w:val="Standaard"/>
    <w:next w:val="Standaard"/>
    <w:link w:val="Kop2Char"/>
    <w:qFormat/>
    <w:rsid w:val="00545F16"/>
    <w:pPr>
      <w:keepNext/>
      <w:tabs>
        <w:tab w:val="left" w:pos="3402"/>
      </w:tabs>
      <w:spacing w:before="240" w:after="60"/>
      <w:outlineLvl w:val="1"/>
    </w:pPr>
    <w:rPr>
      <w:rFonts w:eastAsia="Times New Roman"/>
      <w:b/>
      <w:bCs/>
      <w:i/>
      <w:iCs/>
      <w:sz w:val="28"/>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gave">
    <w:name w:val="Opgave"/>
    <w:basedOn w:val="Standaard"/>
    <w:qFormat/>
    <w:rsid w:val="00D03A11"/>
    <w:pPr>
      <w:tabs>
        <w:tab w:val="left" w:pos="2835"/>
      </w:tabs>
      <w:kinsoku w:val="0"/>
      <w:overflowPunct w:val="0"/>
      <w:spacing w:before="240" w:after="240"/>
      <w:ind w:hanging="567"/>
      <w:textAlignment w:val="baseline"/>
    </w:pPr>
    <w:rPr>
      <w:noProof/>
      <w:sz w:val="28"/>
      <w:szCs w:val="28"/>
    </w:rPr>
  </w:style>
  <w:style w:type="paragraph" w:customStyle="1" w:styleId="Stip">
    <w:name w:val="Stip"/>
    <w:basedOn w:val="Standaard"/>
    <w:qFormat/>
    <w:rsid w:val="0040277F"/>
    <w:pPr>
      <w:widowControl w:val="0"/>
      <w:numPr>
        <w:numId w:val="15"/>
      </w:numPr>
      <w:tabs>
        <w:tab w:val="right" w:pos="9639"/>
      </w:tabs>
      <w:kinsoku w:val="0"/>
      <w:spacing w:before="60" w:after="60"/>
    </w:pPr>
  </w:style>
  <w:style w:type="paragraph" w:customStyle="1" w:styleId="Indien">
    <w:name w:val="Indien"/>
    <w:basedOn w:val="Stip"/>
    <w:qFormat/>
    <w:rsid w:val="00CC42EC"/>
    <w:pPr>
      <w:numPr>
        <w:numId w:val="0"/>
      </w:numPr>
      <w:tabs>
        <w:tab w:val="right" w:pos="9072"/>
      </w:tabs>
      <w:spacing w:before="120"/>
    </w:pPr>
  </w:style>
  <w:style w:type="paragraph" w:customStyle="1" w:styleId="OpmCurs">
    <w:name w:val="OpmCurs"/>
    <w:basedOn w:val="Standaard"/>
    <w:next w:val="Standaard"/>
    <w:qFormat/>
    <w:rsid w:val="00D25BCD"/>
    <w:pPr>
      <w:spacing w:before="120"/>
    </w:pPr>
    <w:rPr>
      <w:rFonts w:eastAsia="Times New Roman"/>
      <w:i/>
      <w:szCs w:val="24"/>
      <w:lang w:eastAsia="nl-NL"/>
    </w:rPr>
  </w:style>
  <w:style w:type="paragraph" w:customStyle="1" w:styleId="Vraag">
    <w:name w:val="Vraag"/>
    <w:basedOn w:val="Standaard"/>
    <w:qFormat/>
    <w:rsid w:val="00E51928"/>
    <w:pPr>
      <w:tabs>
        <w:tab w:val="left" w:pos="-426"/>
      </w:tabs>
      <w:kinsoku w:val="0"/>
      <w:overflowPunct w:val="0"/>
      <w:spacing w:before="120" w:after="120"/>
      <w:ind w:hanging="709"/>
      <w:textAlignment w:val="baseline"/>
    </w:pPr>
    <w:rPr>
      <w:spacing w:val="4"/>
    </w:rPr>
  </w:style>
  <w:style w:type="paragraph" w:customStyle="1" w:styleId="FigVgl">
    <w:name w:val="FigVgl"/>
    <w:basedOn w:val="Standaard"/>
    <w:qFormat/>
    <w:rsid w:val="00E51928"/>
    <w:pPr>
      <w:kinsoku w:val="0"/>
      <w:overflowPunct w:val="0"/>
      <w:spacing w:before="60" w:after="60"/>
      <w:textAlignment w:val="baseline"/>
    </w:pPr>
    <w:rPr>
      <w:noProof/>
      <w:spacing w:val="4"/>
      <w:lang w:eastAsia="nl-NL"/>
    </w:rPr>
  </w:style>
  <w:style w:type="paragraph" w:customStyle="1" w:styleId="Maximumscore">
    <w:name w:val="Maximumscore"/>
    <w:basedOn w:val="Standaard"/>
    <w:qFormat/>
    <w:rsid w:val="00DB311A"/>
    <w:pPr>
      <w:numPr>
        <w:numId w:val="17"/>
      </w:numPr>
      <w:tabs>
        <w:tab w:val="left" w:pos="-284"/>
      </w:tabs>
      <w:suppressAutoHyphens/>
      <w:kinsoku w:val="0"/>
      <w:overflowPunct w:val="0"/>
      <w:spacing w:before="120" w:after="60"/>
      <w:textAlignment w:val="baseline"/>
    </w:pPr>
    <w:rPr>
      <w:b/>
      <w:spacing w:val="4"/>
      <w:szCs w:val="20"/>
      <w:lang w:val="it-IT"/>
    </w:rPr>
  </w:style>
  <w:style w:type="paragraph" w:customStyle="1" w:styleId="Opsomming">
    <w:name w:val="Opsomming"/>
    <w:basedOn w:val="Lijstalinea"/>
    <w:qFormat/>
    <w:rsid w:val="00E51928"/>
    <w:pPr>
      <w:numPr>
        <w:numId w:val="2"/>
      </w:numPr>
      <w:kinsoku w:val="0"/>
      <w:overflowPunct w:val="0"/>
      <w:textAlignment w:val="baseline"/>
    </w:pPr>
    <w:rPr>
      <w:spacing w:val="4"/>
    </w:rPr>
  </w:style>
  <w:style w:type="paragraph" w:styleId="Lijstalinea">
    <w:name w:val="List Paragraph"/>
    <w:basedOn w:val="Standaard"/>
    <w:uiPriority w:val="34"/>
    <w:qFormat/>
    <w:rsid w:val="00E51928"/>
    <w:pPr>
      <w:ind w:left="720"/>
      <w:contextualSpacing/>
    </w:pPr>
  </w:style>
  <w:style w:type="paragraph" w:customStyle="1" w:styleId="Interlinie">
    <w:name w:val="Interlinie"/>
    <w:basedOn w:val="Standaard"/>
    <w:link w:val="InterlinieChar"/>
    <w:qFormat/>
    <w:rsid w:val="00C72BB6"/>
    <w:pPr>
      <w:kinsoku w:val="0"/>
      <w:overflowPunct w:val="0"/>
      <w:spacing w:before="120"/>
      <w:textAlignment w:val="baseline"/>
    </w:pPr>
  </w:style>
  <w:style w:type="paragraph" w:customStyle="1" w:styleId="Vergelijking">
    <w:name w:val="Vergelijking"/>
    <w:basedOn w:val="Standaard"/>
    <w:qFormat/>
    <w:rsid w:val="007D0E50"/>
    <w:pPr>
      <w:spacing w:before="60" w:after="60"/>
    </w:pPr>
    <w:rPr>
      <w:rFonts w:cstheme="minorBidi"/>
    </w:rPr>
  </w:style>
  <w:style w:type="paragraph" w:customStyle="1" w:styleId="Genummerd">
    <w:name w:val="Genummerd"/>
    <w:basedOn w:val="Lijstalinea"/>
    <w:qFormat/>
    <w:rsid w:val="00443364"/>
    <w:pPr>
      <w:numPr>
        <w:numId w:val="3"/>
      </w:numPr>
      <w:kinsoku w:val="0"/>
      <w:overflowPunct w:val="0"/>
      <w:textAlignment w:val="baseline"/>
    </w:pPr>
  </w:style>
  <w:style w:type="paragraph" w:customStyle="1" w:styleId="CSElijst">
    <w:name w:val="CSElijst"/>
    <w:basedOn w:val="Lijstalinea"/>
    <w:next w:val="Standaard"/>
    <w:uiPriority w:val="99"/>
    <w:qFormat/>
    <w:rsid w:val="007D0E50"/>
    <w:pPr>
      <w:widowControl w:val="0"/>
      <w:numPr>
        <w:numId w:val="11"/>
      </w:numPr>
      <w:kinsoku w:val="0"/>
      <w:overflowPunct w:val="0"/>
      <w:spacing w:before="120" w:after="120"/>
      <w:textAlignment w:val="baseline"/>
    </w:pPr>
    <w:rPr>
      <w:rFonts w:eastAsiaTheme="minorEastAsia"/>
      <w:bCs/>
      <w:szCs w:val="20"/>
      <w:lang w:val="it-IT" w:eastAsia="nl-NL"/>
    </w:rPr>
  </w:style>
  <w:style w:type="paragraph" w:customStyle="1" w:styleId="VraagScore">
    <w:name w:val="VraagScore"/>
    <w:basedOn w:val="Standaard"/>
    <w:qFormat/>
    <w:rsid w:val="00407D6E"/>
    <w:pPr>
      <w:widowControl w:val="0"/>
      <w:kinsoku w:val="0"/>
      <w:spacing w:before="120" w:after="120"/>
      <w:ind w:hanging="851"/>
    </w:pPr>
    <w:rPr>
      <w:rFonts w:eastAsiaTheme="minorEastAsia"/>
      <w:szCs w:val="24"/>
      <w:lang w:eastAsia="nl-NL"/>
    </w:rPr>
  </w:style>
  <w:style w:type="paragraph" w:customStyle="1" w:styleId="OpsomCurs">
    <w:name w:val="OpsomCurs"/>
    <w:basedOn w:val="Stip"/>
    <w:qFormat/>
    <w:rsid w:val="00BC7B1C"/>
    <w:pPr>
      <w:numPr>
        <w:numId w:val="13"/>
      </w:numPr>
      <w:kinsoku/>
      <w:autoSpaceDE w:val="0"/>
      <w:autoSpaceDN w:val="0"/>
      <w:contextualSpacing/>
    </w:pPr>
    <w:rPr>
      <w:rFonts w:eastAsia="Times New Roman"/>
      <w:i/>
      <w:lang w:eastAsia="nl-NL"/>
    </w:rPr>
  </w:style>
  <w:style w:type="paragraph" w:styleId="Voettekst">
    <w:name w:val="footer"/>
    <w:basedOn w:val="Standaard"/>
    <w:link w:val="VoettekstChar"/>
    <w:uiPriority w:val="99"/>
    <w:unhideWhenUsed/>
    <w:rsid w:val="00B415CC"/>
    <w:pPr>
      <w:pBdr>
        <w:top w:val="single" w:sz="4" w:space="1" w:color="auto"/>
      </w:pBdr>
      <w:tabs>
        <w:tab w:val="left" w:pos="0"/>
        <w:tab w:val="center" w:pos="4536"/>
        <w:tab w:val="right" w:pos="9072"/>
      </w:tabs>
    </w:pPr>
    <w:rPr>
      <w:b/>
      <w:sz w:val="16"/>
      <w:szCs w:val="16"/>
    </w:rPr>
  </w:style>
  <w:style w:type="character" w:customStyle="1" w:styleId="VoettekstChar">
    <w:name w:val="Voettekst Char"/>
    <w:basedOn w:val="Standaardalinea-lettertype"/>
    <w:link w:val="Voettekst"/>
    <w:uiPriority w:val="99"/>
    <w:rsid w:val="00B415CC"/>
    <w:rPr>
      <w:b/>
      <w:sz w:val="16"/>
      <w:szCs w:val="16"/>
    </w:rPr>
  </w:style>
  <w:style w:type="paragraph" w:customStyle="1" w:styleId="VrgPnt">
    <w:name w:val="VrgPnt"/>
    <w:basedOn w:val="Plattetekst"/>
    <w:qFormat/>
    <w:rsid w:val="00826564"/>
    <w:pPr>
      <w:numPr>
        <w:numId w:val="16"/>
      </w:numPr>
      <w:tabs>
        <w:tab w:val="left" w:pos="-284"/>
      </w:tabs>
    </w:pPr>
  </w:style>
  <w:style w:type="paragraph" w:styleId="Plattetekst">
    <w:name w:val="Body Text"/>
    <w:basedOn w:val="Standaard"/>
    <w:link w:val="PlattetekstChar"/>
    <w:uiPriority w:val="99"/>
    <w:semiHidden/>
    <w:unhideWhenUsed/>
    <w:rsid w:val="00826564"/>
    <w:pPr>
      <w:spacing w:after="120"/>
    </w:pPr>
  </w:style>
  <w:style w:type="character" w:customStyle="1" w:styleId="PlattetekstChar">
    <w:name w:val="Platte tekst Char"/>
    <w:basedOn w:val="Standaardalinea-lettertype"/>
    <w:link w:val="Plattetekst"/>
    <w:uiPriority w:val="99"/>
    <w:semiHidden/>
    <w:rsid w:val="00826564"/>
  </w:style>
  <w:style w:type="character" w:customStyle="1" w:styleId="Kop1Char">
    <w:name w:val="Kop 1 Char"/>
    <w:basedOn w:val="Standaardalinea-lettertype"/>
    <w:link w:val="Kop1"/>
    <w:rsid w:val="00545F16"/>
    <w:rPr>
      <w:rFonts w:eastAsia="Times New Roman"/>
      <w:b/>
      <w:sz w:val="28"/>
      <w:szCs w:val="24"/>
      <w:lang w:eastAsia="nl-NL"/>
    </w:rPr>
  </w:style>
  <w:style w:type="character" w:customStyle="1" w:styleId="Kop2Char">
    <w:name w:val="Kop 2 Char"/>
    <w:basedOn w:val="Standaardalinea-lettertype"/>
    <w:link w:val="Kop2"/>
    <w:rsid w:val="00545F16"/>
    <w:rPr>
      <w:rFonts w:eastAsia="Times New Roman"/>
      <w:b/>
      <w:bCs/>
      <w:i/>
      <w:iCs/>
      <w:sz w:val="28"/>
      <w:szCs w:val="28"/>
      <w:lang w:eastAsia="nl-NL"/>
    </w:rPr>
  </w:style>
  <w:style w:type="character" w:customStyle="1" w:styleId="InterlinieChar">
    <w:name w:val="Interlinie Char"/>
    <w:basedOn w:val="Standaardalinea-lettertype"/>
    <w:link w:val="Interlinie"/>
    <w:rsid w:val="00545F16"/>
  </w:style>
  <w:style w:type="paragraph" w:styleId="Bijschrift">
    <w:name w:val="caption"/>
    <w:basedOn w:val="Standaard"/>
    <w:next w:val="Standaard"/>
    <w:unhideWhenUsed/>
    <w:qFormat/>
    <w:rsid w:val="00545F16"/>
    <w:pPr>
      <w:spacing w:before="120"/>
    </w:pPr>
    <w:rPr>
      <w:b/>
      <w:i/>
      <w:iCs/>
      <w:color w:val="44546A" w:themeColor="text2"/>
      <w:sz w:val="18"/>
      <w:szCs w:val="18"/>
    </w:rPr>
  </w:style>
  <w:style w:type="paragraph" w:customStyle="1" w:styleId="OpsStrp">
    <w:name w:val="OpsStrp"/>
    <w:basedOn w:val="Lijstalinea"/>
    <w:qFormat/>
    <w:rsid w:val="00545F16"/>
    <w:pPr>
      <w:numPr>
        <w:numId w:val="18"/>
      </w:numPr>
      <w:spacing w:before="60"/>
      <w:ind w:left="142" w:hanging="142"/>
    </w:pPr>
  </w:style>
  <w:style w:type="paragraph" w:styleId="Koptekst">
    <w:name w:val="header"/>
    <w:basedOn w:val="Standaard"/>
    <w:link w:val="KoptekstChar"/>
    <w:uiPriority w:val="99"/>
    <w:unhideWhenUsed/>
    <w:rsid w:val="00B50069"/>
    <w:pPr>
      <w:tabs>
        <w:tab w:val="center" w:pos="4536"/>
        <w:tab w:val="right" w:pos="9072"/>
      </w:tabs>
    </w:pPr>
  </w:style>
  <w:style w:type="character" w:customStyle="1" w:styleId="KoptekstChar">
    <w:name w:val="Koptekst Char"/>
    <w:basedOn w:val="Standaardalinea-lettertype"/>
    <w:link w:val="Koptekst"/>
    <w:uiPriority w:val="99"/>
    <w:rsid w:val="00B500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1.png"/><Relationship Id="rId10" Type="http://schemas.openxmlformats.org/officeDocument/2006/relationships/oleObject" Target="embeddings/oleObject2.bin"/><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1905</Words>
  <Characters>10483</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de Groot</dc:creator>
  <cp:keywords/>
  <dc:description/>
  <cp:lastModifiedBy>ad mooldijk</cp:lastModifiedBy>
  <cp:revision>2</cp:revision>
  <dcterms:created xsi:type="dcterms:W3CDTF">2017-11-08T21:58:00Z</dcterms:created>
  <dcterms:modified xsi:type="dcterms:W3CDTF">2017-11-08T21:58:00Z</dcterms:modified>
</cp:coreProperties>
</file>