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373" w:rsidRPr="00323624" w:rsidRDefault="00B52373" w:rsidP="00B52373">
      <w:pPr>
        <w:kinsoku w:val="0"/>
        <w:overflowPunct w:val="0"/>
        <w:textAlignment w:val="baseline"/>
        <w:rPr>
          <w:bCs/>
        </w:rPr>
      </w:pPr>
      <w:r w:rsidRPr="00323624">
        <w:rPr>
          <w:bCs/>
        </w:rPr>
        <w:t xml:space="preserve">EXAMEN SCHEIKUNDE VWO 1984, </w:t>
      </w:r>
      <w:r>
        <w:rPr>
          <w:bCs/>
        </w:rPr>
        <w:t>TWEEDE</w:t>
      </w:r>
      <w:r w:rsidRPr="00323624">
        <w:rPr>
          <w:bCs/>
        </w:rPr>
        <w:t xml:space="preserve"> TIJDVAK, </w:t>
      </w:r>
      <w:r>
        <w:rPr>
          <w:bCs/>
        </w:rPr>
        <w:t>opgaven</w:t>
      </w:r>
    </w:p>
    <w:bookmarkStart w:id="0" w:name="_Toc490751102"/>
    <w:p w:rsidR="00B52373" w:rsidRPr="00B67E3A" w:rsidRDefault="00B52373" w:rsidP="00B52373">
      <w:pPr>
        <w:pStyle w:val="Kop2"/>
      </w:pPr>
      <w:r w:rsidRPr="00B67E3A">
        <w:rPr>
          <w:noProof/>
        </w:rPr>
        <mc:AlternateContent>
          <mc:Choice Requires="wps">
            <w:drawing>
              <wp:anchor distT="0" distB="0" distL="0" distR="0" simplePos="0" relativeHeight="251659264" behindDoc="0" locked="0" layoutInCell="0" allowOverlap="1" wp14:anchorId="43B2A25B" wp14:editId="370B4A76">
                <wp:simplePos x="0" y="0"/>
                <wp:positionH relativeFrom="margin">
                  <wp:align>center</wp:align>
                </wp:positionH>
                <wp:positionV relativeFrom="paragraph">
                  <wp:posOffset>402930</wp:posOffset>
                </wp:positionV>
                <wp:extent cx="6172835" cy="0"/>
                <wp:effectExtent l="0" t="19050" r="56515" b="38100"/>
                <wp:wrapSquare wrapText="bothSides"/>
                <wp:docPr id="1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E847D" id="Line 2" o:spid="_x0000_s1026" style="position:absolute;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75pt" to="486.0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HQFQ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" o:allowincell="f" strokecolor="silver" strokeweight="4.8pt">
                <w10:wrap type="square" anchorx="margin"/>
              </v:line>
            </w:pict>
          </mc:Fallback>
        </mc:AlternateContent>
      </w:r>
      <w:r w:rsidRPr="00B67E3A">
        <w:t>Metathese</w:t>
      </w:r>
      <w:r>
        <w:tab/>
      </w:r>
      <w:r w:rsidRPr="00B67E3A">
        <w:t>1984-II(I)</w:t>
      </w:r>
      <w:bookmarkEnd w:id="0"/>
    </w:p>
    <w:p w:rsidR="00B52373" w:rsidRPr="00323624" w:rsidRDefault="00B52373" w:rsidP="00B52373">
      <w:r w:rsidRPr="00323624">
        <w:t>Propeen wordt onder invloed van bepaalde katalysatoren omgezet in but</w:t>
      </w:r>
      <w:r>
        <w:t>-</w:t>
      </w:r>
      <w:r w:rsidRPr="00323624">
        <w:t>2-een en etheen. Deze reactie is omkeerbaar:</w:t>
      </w:r>
    </w:p>
    <w:p w:rsidR="00B52373" w:rsidRPr="00323624" w:rsidRDefault="00B52373" w:rsidP="00B52373">
      <w:pPr>
        <w:pStyle w:val="Vergelijking"/>
      </w:pPr>
      <w:r w:rsidRPr="00323624">
        <w:object w:dxaOrig="4791" w:dyaOrig="1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6pt;height:86.4pt" o:ole="">
            <v:imagedata r:id="rId7" o:title=""/>
          </v:shape>
          <o:OLEObject Type="Embed" ProgID="ACD.ChemSketch.20" ShapeID="_x0000_i1025" DrawAspect="Content" ObjectID="_1571687341" r:id="rId8"/>
        </w:object>
      </w:r>
    </w:p>
    <w:p w:rsidR="00B52373" w:rsidRPr="00323624" w:rsidRDefault="00B52373" w:rsidP="00B52373">
      <w:r w:rsidRPr="00323624">
        <w:t>Een dergelijk omkeerbaar proces waarbij telkens twee dubbele bindingen worden verbroken en twee nieuwe dubbele bindingen worden gevormd, noemt men metathese.</w:t>
      </w:r>
    </w:p>
    <w:p w:rsidR="00B52373" w:rsidRPr="00323624" w:rsidRDefault="00B52373" w:rsidP="00B52373">
      <w:r w:rsidRPr="00323624">
        <w:t>In tegenstelling tot wat bij metathese van propeen gebeurt, ontstaan bij metathese van</w:t>
      </w:r>
      <w:r>
        <w:br/>
      </w:r>
      <w:r w:rsidRPr="00323624">
        <w:t>2,3-dimethylbut-2-een geen andere stoffen.</w:t>
      </w:r>
    </w:p>
    <w:p w:rsidR="00B52373" w:rsidRPr="00323624" w:rsidRDefault="00B52373" w:rsidP="00B52373">
      <w:pPr>
        <w:pStyle w:val="CSElijst"/>
        <w:numPr>
          <w:ilvl w:val="0"/>
          <w:numId w:val="40"/>
        </w:numPr>
        <w:ind w:left="0" w:hanging="709"/>
      </w:pPr>
      <w:r w:rsidRPr="00323624">
        <w:t>Leg dit uit.</w:t>
      </w:r>
    </w:p>
    <w:p w:rsidR="00B52373" w:rsidRPr="00323624" w:rsidRDefault="00B52373" w:rsidP="00B52373">
      <w:r w:rsidRPr="00323624">
        <w:t>Bij metathese van octa</w:t>
      </w:r>
      <w:r>
        <w:t>-</w:t>
      </w:r>
      <w:r w:rsidRPr="00323624">
        <w:t>1,7-dieen ontstaat uit één mol octa</w:t>
      </w:r>
      <w:r>
        <w:t>-</w:t>
      </w:r>
      <w:r w:rsidRPr="00323624">
        <w:t>1,7-dieen één mol etheen en één mol van een andere stof.</w:t>
      </w:r>
    </w:p>
    <w:p w:rsidR="00B52373" w:rsidRPr="00E15BAA" w:rsidRDefault="00B52373" w:rsidP="00B52373">
      <w:pPr>
        <w:pStyle w:val="CSElijst"/>
        <w:numPr>
          <w:ilvl w:val="0"/>
          <w:numId w:val="7"/>
        </w:numPr>
        <w:ind w:left="0" w:hanging="709"/>
        <w:rPr>
          <w:lang w:val="nl-NL"/>
        </w:rPr>
      </w:pPr>
      <w:r w:rsidRPr="00E15BAA">
        <w:rPr>
          <w:lang w:val="nl-NL"/>
        </w:rPr>
        <w:t>Geef de structuurformule van die andere stof.</w:t>
      </w:r>
    </w:p>
    <w:p w:rsidR="00B52373" w:rsidRPr="00323624" w:rsidRDefault="00B52373" w:rsidP="00B52373">
      <w:r w:rsidRPr="00323624">
        <w:t>In de petrochemische industrie wordt metathese onder andere toegepast bij de productie van 1-alkenen met 10 tot 20 koolstofatomen per molecuul. Dergelijke alkenen zijn grondstoffen voor de bereiding van synthetische wasmiddelen. Bij de productie van deze 1-alkenen ontstaat in eerste instantie een mengsel dat ook 1-alkenen met méér dan 20 koolstofatomen per molecuul bevat. Deze alkenen kan men, gebruik makend van metathese, alsnog omzetten in de gewenste 1-alkenen met 10 tot 20 koolstofatomen per molecuul.</w:t>
      </w:r>
    </w:p>
    <w:p w:rsidR="00B52373" w:rsidRPr="00323624" w:rsidRDefault="00B52373" w:rsidP="00B52373">
      <w:r w:rsidRPr="00323624">
        <w:t xml:space="preserve">Daartoe worden de 1-alkenen met een te groot aantal koolstofatomen per molecuul eerst afgescheiden. Vervolgens worden deze 1-alkenen omgezet in </w:t>
      </w:r>
      <w:proofErr w:type="spellStart"/>
      <w:r w:rsidRPr="00323624">
        <w:t>isomere</w:t>
      </w:r>
      <w:proofErr w:type="spellEnd"/>
      <w:r w:rsidRPr="00323624">
        <w:t xml:space="preserve"> alkenen waarin de dubbele binding naar het midden van de moleculen is verschoven. Men noemt dit laatste een isomerisatie. Het zo ontstane mengsel wordt tezamen met een grote overmaat etheen aan metathese onderworpen. Het nu verkregen mengsel bestaat grotendeels uit de gewenste alkenen.</w:t>
      </w:r>
    </w:p>
    <w:p w:rsidR="00B52373" w:rsidRPr="00E15BAA" w:rsidRDefault="00B52373" w:rsidP="00B52373">
      <w:pPr>
        <w:pStyle w:val="CSElijst"/>
        <w:numPr>
          <w:ilvl w:val="0"/>
          <w:numId w:val="7"/>
        </w:numPr>
        <w:ind w:left="0" w:hanging="709"/>
        <w:rPr>
          <w:lang w:val="nl-NL"/>
        </w:rPr>
      </w:pPr>
      <w:r w:rsidRPr="00E15BAA">
        <w:rPr>
          <w:lang w:val="nl-NL"/>
        </w:rPr>
        <w:t>Leg uit waarom, voorafgaande aan de metathese, de bovenbeschreven isomerisatie noodzakelijk is.</w:t>
      </w:r>
    </w:p>
    <w:p w:rsidR="00B52373" w:rsidRPr="00323624" w:rsidRDefault="00B52373" w:rsidP="00B52373">
      <w:r w:rsidRPr="00323624">
        <w:t>Het etheen wordt bij deze metathese in grote overmaat toegevoegd om het optreden van reacties tegen te gaan waarbij niet de gewenste 1-alkenen ontstaan.</w:t>
      </w:r>
    </w:p>
    <w:p w:rsidR="00B52373" w:rsidRPr="00E15BAA" w:rsidRDefault="00B52373" w:rsidP="00B52373">
      <w:pPr>
        <w:pStyle w:val="CSElijst"/>
        <w:numPr>
          <w:ilvl w:val="0"/>
          <w:numId w:val="7"/>
        </w:numPr>
        <w:ind w:left="0" w:hanging="709"/>
        <w:rPr>
          <w:lang w:val="nl-NL"/>
        </w:rPr>
      </w:pPr>
      <w:r w:rsidRPr="00E15BAA">
        <w:rPr>
          <w:lang w:val="nl-NL"/>
        </w:rPr>
        <w:t>1. Geef een voorbeeld van een dergelijke reactie die wordt tegengegaan door de overmaat etheen groot te maken.</w:t>
      </w:r>
      <w:r w:rsidRPr="00E15BAA">
        <w:rPr>
          <w:lang w:val="nl-NL"/>
        </w:rPr>
        <w:br/>
        <w:t>2. Leg uit dat dergelijke reacties worden tegengegaan door etheen in grote overmaat toe te voegen.</w:t>
      </w:r>
    </w:p>
    <w:p w:rsidR="00B52373" w:rsidRPr="00323624" w:rsidRDefault="00B52373" w:rsidP="00B52373">
      <w:pPr>
        <w:pStyle w:val="Interlinie"/>
      </w:pPr>
      <w:r w:rsidRPr="00323624">
        <w:t xml:space="preserve">2-Methylpropeen, een bijproduct bij het kraken van aardoliefracties, wordt gebruikt voor de bereiding van </w:t>
      </w:r>
      <w:r>
        <w:t>‘</w:t>
      </w:r>
      <w:proofErr w:type="spellStart"/>
      <w:r>
        <w:t>neohexeen</w:t>
      </w:r>
      <w:proofErr w:type="spellEnd"/>
      <w:r>
        <w:t>’</w:t>
      </w:r>
      <w:r w:rsidRPr="00323624">
        <w:t>, 3,3-dimethylbut-1-een, dat toegepast wordt in de parfumindustrie.</w:t>
      </w:r>
      <w:r w:rsidRPr="00323624">
        <w:br/>
        <w:t>Daartoe wordt uit 2-methylpropeen eerst 2,4,4-trimethylpent-2-een gemaakt:</w:t>
      </w:r>
    </w:p>
    <w:p w:rsidR="00B52373" w:rsidRPr="00323624" w:rsidRDefault="00B52373" w:rsidP="00B52373">
      <w:pPr>
        <w:pStyle w:val="Vergelijking"/>
      </w:pPr>
      <w:r w:rsidRPr="00323624">
        <w:object w:dxaOrig="5429" w:dyaOrig="1243">
          <v:shape id="_x0000_i1026" type="#_x0000_t75" style="width:273.6pt;height:64.8pt" o:ole="">
            <v:imagedata r:id="rId9" o:title=""/>
          </v:shape>
          <o:OLEObject Type="Embed" ProgID="ACD.ChemSketch.20" ShapeID="_x0000_i1026" DrawAspect="Content" ObjectID="_1571687342" r:id="rId10"/>
        </w:object>
      </w:r>
    </w:p>
    <w:p w:rsidR="00B52373" w:rsidRPr="00323624" w:rsidRDefault="00B52373" w:rsidP="00B52373">
      <w:r w:rsidRPr="00323624">
        <w:t xml:space="preserve">Het gevormde 2,4,4-trimethylpent-2-een wordt met etheen omgezet in 2-methylpropeen en </w:t>
      </w:r>
      <w:proofErr w:type="spellStart"/>
      <w:r w:rsidRPr="00323624">
        <w:t>neohexeen</w:t>
      </w:r>
      <w:proofErr w:type="spellEnd"/>
      <w:r w:rsidRPr="00323624">
        <w:t>.</w:t>
      </w:r>
    </w:p>
    <w:p w:rsidR="00B52373" w:rsidRPr="00E15BAA" w:rsidRDefault="00B52373" w:rsidP="00B52373">
      <w:pPr>
        <w:pStyle w:val="CSElijst"/>
        <w:numPr>
          <w:ilvl w:val="0"/>
          <w:numId w:val="7"/>
        </w:numPr>
        <w:ind w:left="0" w:hanging="709"/>
        <w:rPr>
          <w:lang w:val="nl-NL"/>
        </w:rPr>
      </w:pPr>
      <w:r w:rsidRPr="00E15BAA">
        <w:rPr>
          <w:lang w:val="nl-NL"/>
        </w:rPr>
        <w:t>Leg aan de hand van een reactievergelijking uit of bij deze laatstgenoemde omzetting metathese optreedt.</w:t>
      </w:r>
    </w:p>
    <w:p w:rsidR="00B52373" w:rsidRPr="00323624" w:rsidRDefault="00B52373" w:rsidP="00B52373">
      <w:r w:rsidRPr="00323624">
        <w:lastRenderedPageBreak/>
        <w:t>Het gevormde 2-methylpropeen wordt teruggeleid naar het reactievat waarin het</w:t>
      </w:r>
      <w:r>
        <w:br/>
      </w:r>
      <w:r w:rsidRPr="00323624">
        <w:t xml:space="preserve">2,4,4-trimethylpent-2-een wordt gemaakt (zie </w:t>
      </w:r>
      <w:r w:rsidR="00D21AB4">
        <w:fldChar w:fldCharType="begin"/>
      </w:r>
      <w:r w:rsidR="00D21AB4">
        <w:instrText xml:space="preserve"> REF _Ref150334472  \* MERGEFORMAT </w:instrText>
      </w:r>
      <w:r w:rsidR="00D21AB4">
        <w:fldChar w:fldCharType="separate"/>
      </w:r>
      <w:r w:rsidRPr="00323624">
        <w:t>figuur 3</w:t>
      </w:r>
      <w:r w:rsidR="00D21AB4">
        <w:fldChar w:fldCharType="end"/>
      </w:r>
      <w:r w:rsidRPr="00323624">
        <w:t>).</w:t>
      </w:r>
    </w:p>
    <w:p w:rsidR="00B52373" w:rsidRPr="00323624" w:rsidRDefault="00B52373" w:rsidP="00B52373">
      <w:pPr>
        <w:pStyle w:val="Interlinie"/>
      </w:pPr>
      <w:r w:rsidRPr="00323624">
        <w:object w:dxaOrig="9307" w:dyaOrig="2059">
          <v:shape id="_x0000_i1027" type="#_x0000_t75" style="width:468pt;height:100.8pt" o:ole="">
            <v:imagedata r:id="rId11" o:title=""/>
          </v:shape>
          <o:OLEObject Type="Embed" ProgID="ACD.ChemSketch.20" ShapeID="_x0000_i1027" DrawAspect="Content" ObjectID="_1571687343" r:id="rId12"/>
        </w:object>
      </w:r>
    </w:p>
    <w:p w:rsidR="00B52373" w:rsidRPr="00323624" w:rsidRDefault="00B52373" w:rsidP="00B52373">
      <w:pPr>
        <w:pStyle w:val="Bijschrift"/>
        <w:rPr>
          <w:szCs w:val="22"/>
        </w:rPr>
      </w:pPr>
      <w:bookmarkStart w:id="1" w:name="_Ref150334472"/>
      <w:r w:rsidRPr="00323624">
        <w:t xml:space="preserve">figuur </w:t>
      </w:r>
      <w:r w:rsidR="00D21AB4">
        <w:fldChar w:fldCharType="begin"/>
      </w:r>
      <w:r w:rsidR="00D21AB4">
        <w:instrText xml:space="preserve"> SEQ figuur \* ARABIC </w:instrText>
      </w:r>
      <w:r w:rsidR="00D21AB4">
        <w:fldChar w:fldCharType="separate"/>
      </w:r>
      <w:r w:rsidRPr="00323624">
        <w:rPr>
          <w:noProof/>
        </w:rPr>
        <w:t>3</w:t>
      </w:r>
      <w:r w:rsidR="00D21AB4">
        <w:rPr>
          <w:noProof/>
        </w:rPr>
        <w:fldChar w:fldCharType="end"/>
      </w:r>
      <w:bookmarkEnd w:id="1"/>
    </w:p>
    <w:p w:rsidR="00B52373" w:rsidRPr="00323624" w:rsidRDefault="00B52373" w:rsidP="00B52373">
      <w:r w:rsidRPr="00323624">
        <w:t xml:space="preserve">Op deze wijze kan uiteindelijk al het 2-methylpropeen worden omgezet in </w:t>
      </w:r>
      <w:proofErr w:type="spellStart"/>
      <w:r w:rsidRPr="00323624">
        <w:t>neohexeen</w:t>
      </w:r>
      <w:proofErr w:type="spellEnd"/>
      <w:r w:rsidRPr="00323624">
        <w:t>.</w:t>
      </w:r>
    </w:p>
    <w:p w:rsidR="00B52373" w:rsidRPr="00E15BAA" w:rsidRDefault="00B52373" w:rsidP="00B52373">
      <w:pPr>
        <w:pStyle w:val="CSElijst"/>
        <w:numPr>
          <w:ilvl w:val="0"/>
          <w:numId w:val="7"/>
        </w:numPr>
        <w:ind w:left="0" w:hanging="709"/>
        <w:rPr>
          <w:lang w:val="nl-NL"/>
        </w:rPr>
      </w:pPr>
      <w:r w:rsidRPr="00E15BAA">
        <w:rPr>
          <w:lang w:val="nl-NL"/>
        </w:rPr>
        <w:t xml:space="preserve">Beredeneer, mede met behulp van </w:t>
      </w:r>
      <w:r>
        <w:fldChar w:fldCharType="begin"/>
      </w:r>
      <w:r w:rsidRPr="00E15BAA">
        <w:rPr>
          <w:lang w:val="nl-NL"/>
        </w:rPr>
        <w:instrText xml:space="preserve"> REF _Ref150334472  \* MERGEFORMAT </w:instrText>
      </w:r>
      <w:r>
        <w:fldChar w:fldCharType="separate"/>
      </w:r>
      <w:r w:rsidRPr="00E15BAA">
        <w:rPr>
          <w:lang w:val="nl-NL"/>
        </w:rPr>
        <w:t>figuur 3</w:t>
      </w:r>
      <w:r>
        <w:fldChar w:fldCharType="end"/>
      </w:r>
      <w:r w:rsidRPr="00E15BAA">
        <w:rPr>
          <w:lang w:val="nl-NL"/>
        </w:rPr>
        <w:t xml:space="preserve">, hoeveel mol etheen bij dit proces verbruikt wordt als 1 mol 2-methylpropeen volledig wordt omgezet in </w:t>
      </w:r>
      <w:proofErr w:type="spellStart"/>
      <w:r w:rsidRPr="00E15BAA">
        <w:rPr>
          <w:lang w:val="nl-NL"/>
        </w:rPr>
        <w:t>neohexeen</w:t>
      </w:r>
      <w:proofErr w:type="spellEnd"/>
      <w:r w:rsidRPr="00E15BAA">
        <w:rPr>
          <w:lang w:val="nl-NL"/>
        </w:rPr>
        <w:t>.</w:t>
      </w:r>
    </w:p>
    <w:bookmarkStart w:id="2" w:name="_Toc490751103"/>
    <w:p w:rsidR="00B52373" w:rsidRPr="00B67E3A" w:rsidRDefault="00B52373" w:rsidP="00B52373">
      <w:pPr>
        <w:pStyle w:val="Kop2"/>
      </w:pPr>
      <w:r w:rsidRPr="00B67E3A">
        <w:rPr>
          <w:noProof/>
        </w:rPr>
        <mc:AlternateContent>
          <mc:Choice Requires="wps">
            <w:drawing>
              <wp:anchor distT="0" distB="0" distL="0" distR="0" simplePos="0" relativeHeight="251662336" behindDoc="0" locked="0" layoutInCell="0" allowOverlap="1" wp14:anchorId="47345CB2" wp14:editId="3ED4EB9C">
                <wp:simplePos x="0" y="0"/>
                <wp:positionH relativeFrom="margin">
                  <wp:align>center</wp:align>
                </wp:positionH>
                <wp:positionV relativeFrom="paragraph">
                  <wp:posOffset>350809</wp:posOffset>
                </wp:positionV>
                <wp:extent cx="6172835" cy="0"/>
                <wp:effectExtent l="0" t="19050" r="56515" b="38100"/>
                <wp:wrapSquare wrapText="bothSides"/>
                <wp:docPr id="2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649B2"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7.6pt" to="486.0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sd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" o:allowincell="f" strokecolor="silver" strokeweight="4.8pt">
                <w10:wrap type="square" anchorx="margin"/>
              </v:line>
            </w:pict>
          </mc:Fallback>
        </mc:AlternateContent>
      </w:r>
      <w:proofErr w:type="spellStart"/>
      <w:r w:rsidRPr="00B67E3A">
        <w:t>Omringing</w:t>
      </w:r>
      <w:proofErr w:type="spellEnd"/>
      <w:r w:rsidRPr="00B67E3A">
        <w:t xml:space="preserve"> van zilver</w:t>
      </w:r>
      <w:r w:rsidRPr="00B67E3A">
        <w:tab/>
        <w:t>1984-II(II)</w:t>
      </w:r>
      <w:bookmarkEnd w:id="2"/>
    </w:p>
    <w:p w:rsidR="00B52373" w:rsidRPr="00323624" w:rsidRDefault="00B52373" w:rsidP="00B52373">
      <w:r w:rsidRPr="00323624">
        <w:t>Bij toevoeging van natronloog aan een oplossing van zilvernitraat ontstaat een bruin neerslag van zilveroxide.</w:t>
      </w:r>
    </w:p>
    <w:p w:rsidR="00B52373" w:rsidRPr="00E15BAA" w:rsidRDefault="00B52373" w:rsidP="00B52373">
      <w:pPr>
        <w:pStyle w:val="CSElijst"/>
        <w:numPr>
          <w:ilvl w:val="0"/>
          <w:numId w:val="7"/>
        </w:numPr>
        <w:ind w:left="0" w:hanging="709"/>
        <w:rPr>
          <w:lang w:val="nl-NL"/>
        </w:rPr>
      </w:pPr>
      <w:r w:rsidRPr="00E15BAA">
        <w:rPr>
          <w:lang w:val="nl-NL"/>
        </w:rPr>
        <w:t>Geef de vorming van het bruine neerslag in een reactievergelijking weer.</w:t>
      </w:r>
    </w:p>
    <w:p w:rsidR="00B52373" w:rsidRPr="00323624" w:rsidRDefault="00B52373" w:rsidP="00B52373">
      <w:r w:rsidRPr="00323624">
        <w:t>Voegt men aan een oplossing van zilvernitraat een kleine hoeveelheid ammonia toe dan ontstaat eveneens een neerslag van zilveroxide.</w:t>
      </w:r>
    </w:p>
    <w:p w:rsidR="00B52373" w:rsidRPr="00323624" w:rsidRDefault="00B52373" w:rsidP="00B52373">
      <w:r w:rsidRPr="00323624">
        <w:t xml:space="preserve">Bij verdere toevoeging van ammonia lost het zilveroxide echter op. Men neemt aan dat in de ontstane oplossing complexe </w:t>
      </w:r>
      <w:proofErr w:type="spellStart"/>
      <w:r w:rsidRPr="00323624">
        <w:t>amminezilverionen</w:t>
      </w:r>
      <w:proofErr w:type="spellEnd"/>
      <w:r w:rsidRPr="00323624">
        <w:t>, Ag(NH</w:t>
      </w:r>
      <w:r w:rsidRPr="00323624">
        <w:rPr>
          <w:vertAlign w:val="subscript"/>
        </w:rPr>
        <w:t>3</w:t>
      </w:r>
      <w:r w:rsidRPr="00323624">
        <w:t>)</w:t>
      </w:r>
      <w:r w:rsidRPr="00323624">
        <w:rPr>
          <w:vertAlign w:val="subscript"/>
        </w:rPr>
        <w:t>n</w:t>
      </w:r>
      <w:r w:rsidRPr="00323624">
        <w:rPr>
          <w:vertAlign w:val="superscript"/>
        </w:rPr>
        <w:t>+</w:t>
      </w:r>
      <w:r w:rsidRPr="00323624">
        <w:t>, voorkomen.</w:t>
      </w:r>
    </w:p>
    <w:p w:rsidR="00B52373" w:rsidRPr="00E15BAA" w:rsidRDefault="00B52373" w:rsidP="00B52373">
      <w:pPr>
        <w:pStyle w:val="CSElijst"/>
        <w:numPr>
          <w:ilvl w:val="0"/>
          <w:numId w:val="7"/>
        </w:numPr>
        <w:ind w:left="0" w:hanging="709"/>
        <w:rPr>
          <w:lang w:val="nl-NL"/>
        </w:rPr>
      </w:pPr>
      <w:r w:rsidRPr="00E15BAA">
        <w:rPr>
          <w:lang w:val="nl-NL"/>
        </w:rPr>
        <w:t>Geef de vorming van Ag(NH</w:t>
      </w:r>
      <w:r w:rsidRPr="00E15BAA">
        <w:rPr>
          <w:vertAlign w:val="subscript"/>
          <w:lang w:val="nl-NL"/>
        </w:rPr>
        <w:t>3</w:t>
      </w:r>
      <w:r w:rsidRPr="00E15BAA">
        <w:rPr>
          <w:lang w:val="nl-NL"/>
        </w:rPr>
        <w:t>)</w:t>
      </w:r>
      <w:r w:rsidRPr="00E15BAA">
        <w:rPr>
          <w:vertAlign w:val="subscript"/>
          <w:lang w:val="nl-NL"/>
        </w:rPr>
        <w:t>n</w:t>
      </w:r>
      <w:r w:rsidRPr="00E15BAA">
        <w:rPr>
          <w:vertAlign w:val="superscript"/>
          <w:lang w:val="nl-NL"/>
        </w:rPr>
        <w:t>+</w:t>
      </w:r>
      <w:r w:rsidRPr="00E15BAA">
        <w:rPr>
          <w:lang w:val="nl-NL"/>
        </w:rPr>
        <w:t xml:space="preserve"> uit zilveroxide en ammonia in een reactievergelijking weer.</w:t>
      </w:r>
    </w:p>
    <w:p w:rsidR="00B52373" w:rsidRPr="00323624" w:rsidRDefault="00B52373" w:rsidP="00B52373">
      <w:r w:rsidRPr="00323624">
        <w:t xml:space="preserve">Omstreeks 1940 deed J. </w:t>
      </w:r>
      <w:proofErr w:type="spellStart"/>
      <w:r w:rsidRPr="00323624">
        <w:t>Bjerrum</w:t>
      </w:r>
      <w:proofErr w:type="spellEnd"/>
      <w:r w:rsidRPr="00323624">
        <w:t xml:space="preserve"> onderzoek naar mogelijke waarden van n in Ag(NH</w:t>
      </w:r>
      <w:r w:rsidRPr="00323624">
        <w:rPr>
          <w:vertAlign w:val="subscript"/>
        </w:rPr>
        <w:t>3</w:t>
      </w:r>
      <w:r w:rsidRPr="00323624">
        <w:t>)</w:t>
      </w:r>
      <w:r w:rsidRPr="00323624">
        <w:rPr>
          <w:vertAlign w:val="subscript"/>
        </w:rPr>
        <w:t>n</w:t>
      </w:r>
      <w:r w:rsidRPr="00323624">
        <w:rPr>
          <w:vertAlign w:val="superscript"/>
        </w:rPr>
        <w:t>+</w:t>
      </w:r>
      <w:r w:rsidRPr="00323624">
        <w:t>. Daartoe voerde hij een reeks proeven uit. Bij elk van deze proeven ging hij uit van 1,0 liter van een 2,0 molair oplossing van ammoniumnitraat waaraan hij een kleine hoeveelheid van een zilvernitraatoplossing toevoegde, per proef steeds dezelfde hoeveelheid.</w:t>
      </w:r>
    </w:p>
    <w:p w:rsidR="00B52373" w:rsidRPr="00323624" w:rsidRDefault="00B52373" w:rsidP="00B52373">
      <w:r w:rsidRPr="00323624">
        <w:t>Vervolgens voegde hij per proef ook nog een kleine hoeveelheid ammonia toe, bij opeenvolgende proeven een steeds grotere hoeveelheid. In al deze gevallen werd een heldere oplossing (zonder neerslag) verkregen.</w:t>
      </w:r>
    </w:p>
    <w:p w:rsidR="00B52373" w:rsidRPr="00323624" w:rsidRDefault="00B52373" w:rsidP="00B52373">
      <w:r w:rsidRPr="00323624">
        <w:t xml:space="preserve">Na meting van de pH-waarden van de zo ontstane oplossingen kon </w:t>
      </w:r>
      <w:proofErr w:type="spellStart"/>
      <w:r w:rsidRPr="00323624">
        <w:t>Bjerrum</w:t>
      </w:r>
      <w:proofErr w:type="spellEnd"/>
      <w:r w:rsidRPr="00323624">
        <w:t xml:space="preserve"> telkens een gemiddelde waarde van n in Ag(NH</w:t>
      </w:r>
      <w:r w:rsidRPr="00323624">
        <w:rPr>
          <w:vertAlign w:val="subscript"/>
        </w:rPr>
        <w:t>3</w:t>
      </w:r>
      <w:r w:rsidRPr="00323624">
        <w:t>)</w:t>
      </w:r>
      <w:r w:rsidRPr="00323624">
        <w:rPr>
          <w:vertAlign w:val="subscript"/>
        </w:rPr>
        <w:t>n</w:t>
      </w:r>
      <w:r w:rsidRPr="00323624">
        <w:rPr>
          <w:vertAlign w:val="superscript"/>
        </w:rPr>
        <w:t>+</w:t>
      </w:r>
      <w:r w:rsidRPr="00323624">
        <w:t>: berekenen.</w:t>
      </w:r>
    </w:p>
    <w:p w:rsidR="00B52373" w:rsidRPr="00323624" w:rsidRDefault="00B52373" w:rsidP="00B52373">
      <w:r w:rsidRPr="00323624">
        <w:t>Bij deze berekeningen mag de volumetoename van de oorspronkelijke ammoniumnitraatoplossing verwaarloosd worden. Bij al deze proeven blijft [NH</w:t>
      </w:r>
      <w:r w:rsidRPr="00323624">
        <w:rPr>
          <w:vertAlign w:val="subscript"/>
        </w:rPr>
        <w:t>4</w:t>
      </w:r>
      <w:r w:rsidRPr="00323624">
        <w:rPr>
          <w:vertAlign w:val="superscript"/>
        </w:rPr>
        <w:t>+</w:t>
      </w:r>
      <w:r w:rsidRPr="00323624">
        <w:t>] na toevoeging van zilvernitraatoplossing en ammonia gelijk aan 2,0 mol L</w:t>
      </w:r>
      <w:r w:rsidRPr="00323624">
        <w:rPr>
          <w:vertAlign w:val="superscript"/>
        </w:rPr>
        <w:sym w:font="Symbol" w:char="F02D"/>
      </w:r>
      <w:r w:rsidRPr="00323624">
        <w:rPr>
          <w:vertAlign w:val="superscript"/>
        </w:rPr>
        <w:t>1</w:t>
      </w:r>
      <w:r w:rsidRPr="00323624">
        <w:t>.</w:t>
      </w:r>
    </w:p>
    <w:p w:rsidR="00B52373" w:rsidRPr="00323624" w:rsidRDefault="00B52373" w:rsidP="00B52373">
      <w:r w:rsidRPr="00323624">
        <w:t>Bij één van de proeven werd aan 1,0 liter van de 2,0 molair a</w:t>
      </w:r>
      <w:r>
        <w:t>m</w:t>
      </w:r>
      <w:r w:rsidRPr="00323624">
        <w:t xml:space="preserve">moniumnitraatoplossing 20 </w:t>
      </w:r>
      <w:proofErr w:type="spellStart"/>
      <w:r w:rsidRPr="00323624">
        <w:t>mmol</w:t>
      </w:r>
      <w:proofErr w:type="spellEnd"/>
      <w:r w:rsidRPr="00323624">
        <w:t xml:space="preserve"> AgNO</w:t>
      </w:r>
      <w:r w:rsidRPr="00323624">
        <w:rPr>
          <w:vertAlign w:val="subscript"/>
        </w:rPr>
        <w:t>3</w:t>
      </w:r>
      <w:r w:rsidRPr="00323624">
        <w:t xml:space="preserve"> en 25 </w:t>
      </w:r>
      <w:proofErr w:type="spellStart"/>
      <w:r w:rsidRPr="00323624">
        <w:t>mmol</w:t>
      </w:r>
      <w:proofErr w:type="spellEnd"/>
      <w:r w:rsidRPr="00323624">
        <w:t xml:space="preserve"> NH</w:t>
      </w:r>
      <w:r w:rsidRPr="00323624">
        <w:rPr>
          <w:vertAlign w:val="subscript"/>
        </w:rPr>
        <w:t>3</w:t>
      </w:r>
      <w:r w:rsidRPr="00323624">
        <w:t xml:space="preserve"> toegevoegd.</w:t>
      </w:r>
    </w:p>
    <w:p w:rsidR="00B52373" w:rsidRPr="00323624" w:rsidRDefault="00B52373" w:rsidP="00B52373">
      <w:r w:rsidRPr="00323624">
        <w:t>De pH van de ontstane oplossing bleek 5,55 te zijn (bij 298 K). Uit deze gegevens kan men berekenen dat [NH</w:t>
      </w:r>
      <w:r w:rsidRPr="00323624">
        <w:rPr>
          <w:vertAlign w:val="subscript"/>
        </w:rPr>
        <w:t>3</w:t>
      </w:r>
      <w:r w:rsidRPr="00323624">
        <w:t>] in de ontstane oplossing afgerond 4</w:t>
      </w:r>
      <w:r w:rsidRPr="00323624">
        <w:sym w:font="Symbol" w:char="F0D7"/>
      </w:r>
      <w:r w:rsidRPr="00323624">
        <w:t>10</w:t>
      </w:r>
      <w:r w:rsidRPr="00323624">
        <w:rPr>
          <w:vertAlign w:val="superscript"/>
        </w:rPr>
        <w:sym w:font="Symbol" w:char="F02D"/>
      </w:r>
      <w:r w:rsidRPr="00323624">
        <w:rPr>
          <w:vertAlign w:val="superscript"/>
        </w:rPr>
        <w:t>4</w:t>
      </w:r>
      <w:r w:rsidRPr="00323624">
        <w:t xml:space="preserve"> mol L</w:t>
      </w:r>
      <w:r w:rsidRPr="00323624">
        <w:rPr>
          <w:vertAlign w:val="superscript"/>
        </w:rPr>
        <w:sym w:font="Symbol" w:char="F02D"/>
      </w:r>
      <w:r w:rsidRPr="00323624">
        <w:rPr>
          <w:vertAlign w:val="superscript"/>
        </w:rPr>
        <w:t>1</w:t>
      </w:r>
      <w:r w:rsidRPr="00323624">
        <w:t xml:space="preserve"> is.</w:t>
      </w:r>
    </w:p>
    <w:p w:rsidR="00B52373" w:rsidRPr="00323624" w:rsidRDefault="00B52373" w:rsidP="00B52373">
      <w:pPr>
        <w:pStyle w:val="CSElijst"/>
        <w:numPr>
          <w:ilvl w:val="0"/>
          <w:numId w:val="7"/>
        </w:numPr>
        <w:ind w:left="0" w:hanging="709"/>
      </w:pPr>
      <w:r w:rsidRPr="00323624">
        <w:t>Geef deze berekening.</w:t>
      </w:r>
    </w:p>
    <w:p w:rsidR="00B52373" w:rsidRPr="00E15BAA" w:rsidRDefault="00B52373" w:rsidP="00B52373">
      <w:pPr>
        <w:pStyle w:val="CSElijst"/>
        <w:numPr>
          <w:ilvl w:val="0"/>
          <w:numId w:val="7"/>
        </w:numPr>
        <w:ind w:left="0" w:hanging="709"/>
        <w:rPr>
          <w:lang w:val="nl-NL"/>
        </w:rPr>
      </w:pPr>
      <w:r w:rsidRPr="00E15BAA">
        <w:rPr>
          <w:lang w:val="nl-NL"/>
        </w:rPr>
        <w:t>Bereken het gemiddeld aantal NH</w:t>
      </w:r>
      <w:r w:rsidRPr="00E15BAA">
        <w:rPr>
          <w:vertAlign w:val="subscript"/>
          <w:lang w:val="nl-NL"/>
        </w:rPr>
        <w:t>3</w:t>
      </w:r>
      <w:r w:rsidRPr="00E15BAA">
        <w:rPr>
          <w:lang w:val="nl-NL"/>
        </w:rPr>
        <w:t xml:space="preserve"> moleculen (</w:t>
      </w:r>
      <m:oMath>
        <m:acc>
          <m:accPr>
            <m:chr m:val="̅"/>
            <m:ctrlPr>
              <w:rPr>
                <w:rFonts w:ascii="Cambria Math" w:hAnsi="Cambria Math"/>
                <w:i/>
              </w:rPr>
            </m:ctrlPr>
          </m:accPr>
          <m:e>
            <m:r>
              <m:rPr>
                <m:sty m:val="p"/>
              </m:rPr>
              <w:rPr>
                <w:rFonts w:ascii="Cambria Math" w:hAnsi="Cambria Math"/>
                <w:lang w:val="nl-NL"/>
              </w:rPr>
              <m:t>n</m:t>
            </m:r>
          </m:e>
        </m:acc>
      </m:oMath>
      <w:r w:rsidRPr="00E15BAA">
        <w:rPr>
          <w:lang w:val="nl-NL"/>
        </w:rPr>
        <w:t>) dat in dit geval per Ag</w:t>
      </w:r>
      <w:r w:rsidRPr="00E15BAA">
        <w:rPr>
          <w:vertAlign w:val="superscript"/>
          <w:lang w:val="nl-NL"/>
        </w:rPr>
        <w:t>+</w:t>
      </w:r>
      <w:r w:rsidRPr="00E15BAA">
        <w:rPr>
          <w:lang w:val="nl-NL"/>
        </w:rPr>
        <w:t xml:space="preserve"> ion gebonden is.</w:t>
      </w:r>
    </w:p>
    <w:p w:rsidR="00B52373" w:rsidRPr="00323624" w:rsidRDefault="00B52373" w:rsidP="00B52373">
      <w:r w:rsidRPr="00323624">
        <w:t xml:space="preserve">Bij een andere proef werd aan 1,0 liter van de 2,0 molair ammoniumnitraatoplossing 20 </w:t>
      </w:r>
      <w:proofErr w:type="spellStart"/>
      <w:r w:rsidRPr="00323624">
        <w:t>mmol</w:t>
      </w:r>
      <w:proofErr w:type="spellEnd"/>
      <w:r w:rsidRPr="00323624">
        <w:t xml:space="preserve"> AgNO</w:t>
      </w:r>
      <w:r w:rsidRPr="00323624">
        <w:rPr>
          <w:vertAlign w:val="subscript"/>
        </w:rPr>
        <w:t>3</w:t>
      </w:r>
      <w:r w:rsidRPr="00323624">
        <w:t xml:space="preserve"> en 35 </w:t>
      </w:r>
      <w:proofErr w:type="spellStart"/>
      <w:r w:rsidRPr="00323624">
        <w:t>mmol</w:t>
      </w:r>
      <w:proofErr w:type="spellEnd"/>
      <w:r w:rsidRPr="00323624">
        <w:t xml:space="preserve"> NH</w:t>
      </w:r>
      <w:r w:rsidRPr="00323624">
        <w:rPr>
          <w:vertAlign w:val="subscript"/>
        </w:rPr>
        <w:t>3</w:t>
      </w:r>
      <w:r w:rsidRPr="00323624">
        <w:t xml:space="preserve"> toegevoegd.</w:t>
      </w:r>
    </w:p>
    <w:p w:rsidR="00B52373" w:rsidRPr="00323624" w:rsidRDefault="00B52373" w:rsidP="00B52373">
      <w:r w:rsidRPr="00323624">
        <w:t xml:space="preserve">Bij deze proef werd gevonden dat </w:t>
      </w:r>
      <m:oMath>
        <m:acc>
          <m:accPr>
            <m:chr m:val="̅"/>
            <m:ctrlPr>
              <w:rPr>
                <w:rFonts w:ascii="Cambria Math" w:hAnsi="Cambria Math"/>
                <w:i/>
              </w:rPr>
            </m:ctrlPr>
          </m:accPr>
          <m:e>
            <m:r>
              <m:rPr>
                <m:sty m:val="p"/>
              </m:rPr>
              <w:rPr>
                <w:rFonts w:ascii="Cambria Math" w:hAnsi="Cambria Math"/>
              </w:rPr>
              <m:t>n</m:t>
            </m:r>
          </m:e>
        </m:acc>
      </m:oMath>
      <w:r w:rsidRPr="00323624">
        <w:t xml:space="preserve"> = 1,7. Men mag aannemen dat in de ontstane oplossing geen vrij Ag</w:t>
      </w:r>
      <w:r w:rsidRPr="00323624">
        <w:rPr>
          <w:vertAlign w:val="superscript"/>
        </w:rPr>
        <w:t>+</w:t>
      </w:r>
      <w:r w:rsidRPr="00323624">
        <w:t xml:space="preserve"> aanwezig is.</w:t>
      </w:r>
    </w:p>
    <w:p w:rsidR="00B52373" w:rsidRPr="00323624" w:rsidRDefault="00B52373" w:rsidP="00B52373">
      <w:r w:rsidRPr="00323624">
        <w:t>Bij andere proeven uit deze reeks waarbij steeds grotere hoeveelheden NH</w:t>
      </w:r>
      <w:r w:rsidRPr="00323624">
        <w:rPr>
          <w:vertAlign w:val="subscript"/>
        </w:rPr>
        <w:t>3</w:t>
      </w:r>
      <w:r w:rsidRPr="00323624">
        <w:t xml:space="preserve"> werden toegevoegd, volgt uit berekening dat n naar 2,0 nadert en nooit hoger dan 2,0 wordt.</w:t>
      </w:r>
    </w:p>
    <w:p w:rsidR="007A0C4E" w:rsidRDefault="007A0C4E">
      <w:pPr>
        <w:rPr>
          <w:rFonts w:eastAsiaTheme="minorEastAsia"/>
          <w:bCs/>
          <w:szCs w:val="20"/>
          <w:lang w:eastAsia="nl-NL"/>
        </w:rPr>
      </w:pPr>
      <w:r>
        <w:br w:type="page"/>
      </w:r>
    </w:p>
    <w:p w:rsidR="00B52373" w:rsidRPr="00E15BAA" w:rsidRDefault="00B52373" w:rsidP="00B52373">
      <w:pPr>
        <w:pStyle w:val="CSElijst"/>
        <w:numPr>
          <w:ilvl w:val="0"/>
          <w:numId w:val="7"/>
        </w:numPr>
        <w:ind w:left="0" w:hanging="709"/>
        <w:rPr>
          <w:lang w:val="nl-NL"/>
        </w:rPr>
      </w:pPr>
      <w:r w:rsidRPr="00E15BAA">
        <w:rPr>
          <w:lang w:val="nl-NL"/>
        </w:rPr>
        <w:lastRenderedPageBreak/>
        <w:t xml:space="preserve">1. Geef de formule van elk van de complexe </w:t>
      </w:r>
      <w:proofErr w:type="spellStart"/>
      <w:r w:rsidRPr="00E15BAA">
        <w:rPr>
          <w:lang w:val="nl-NL"/>
        </w:rPr>
        <w:t>amminezilverionen</w:t>
      </w:r>
      <w:proofErr w:type="spellEnd"/>
      <w:r w:rsidRPr="00E15BAA">
        <w:rPr>
          <w:lang w:val="nl-NL"/>
        </w:rPr>
        <w:t xml:space="preserve"> die voorkomen in de oplossing waarvoor </w:t>
      </w:r>
      <m:oMath>
        <m:acc>
          <m:accPr>
            <m:chr m:val="̅"/>
            <m:ctrlPr>
              <w:rPr>
                <w:rFonts w:ascii="Cambria Math" w:hAnsi="Cambria Math"/>
                <w:i/>
              </w:rPr>
            </m:ctrlPr>
          </m:accPr>
          <m:e>
            <m:r>
              <m:rPr>
                <m:sty m:val="p"/>
              </m:rPr>
              <w:rPr>
                <w:rFonts w:ascii="Cambria Math" w:hAnsi="Cambria Math"/>
                <w:lang w:val="nl-NL"/>
              </w:rPr>
              <m:t>n</m:t>
            </m:r>
          </m:e>
        </m:acc>
      </m:oMath>
      <w:r w:rsidRPr="00E15BAA">
        <w:rPr>
          <w:lang w:val="nl-NL"/>
        </w:rPr>
        <w:t xml:space="preserve"> = 1,7 gevonden werd.</w:t>
      </w:r>
    </w:p>
    <w:p w:rsidR="00B52373" w:rsidRPr="00323624" w:rsidRDefault="00B52373" w:rsidP="00B52373">
      <w:r w:rsidRPr="00323624">
        <w:t xml:space="preserve">2. Bereken de concentratie van elk van deze complexe ionen in de oplossing waarvoor </w:t>
      </w:r>
      <m:oMath>
        <m:acc>
          <m:accPr>
            <m:chr m:val="̅"/>
            <m:ctrlPr>
              <w:rPr>
                <w:rFonts w:ascii="Cambria Math" w:hAnsi="Cambria Math"/>
                <w:i/>
              </w:rPr>
            </m:ctrlPr>
          </m:accPr>
          <m:e>
            <m:r>
              <m:rPr>
                <m:sty m:val="p"/>
              </m:rPr>
              <w:rPr>
                <w:rFonts w:ascii="Cambria Math" w:hAnsi="Cambria Math"/>
              </w:rPr>
              <m:t>n</m:t>
            </m:r>
          </m:e>
        </m:acc>
      </m:oMath>
      <w:r w:rsidRPr="00323624">
        <w:t xml:space="preserve"> = 1,7 gevonden werd.</w:t>
      </w:r>
    </w:p>
    <w:bookmarkStart w:id="3" w:name="_Toc490751104"/>
    <w:p w:rsidR="00B52373" w:rsidRPr="00B67E3A" w:rsidRDefault="00B52373" w:rsidP="00B52373">
      <w:pPr>
        <w:pStyle w:val="Kop2"/>
      </w:pPr>
      <w:r w:rsidRPr="00B67E3A">
        <w:rPr>
          <w:noProof/>
        </w:rPr>
        <mc:AlternateContent>
          <mc:Choice Requires="wps">
            <w:drawing>
              <wp:anchor distT="0" distB="0" distL="0" distR="0" simplePos="0" relativeHeight="251663360" behindDoc="0" locked="0" layoutInCell="0" allowOverlap="1" wp14:anchorId="095F9C70" wp14:editId="34012338">
                <wp:simplePos x="0" y="0"/>
                <wp:positionH relativeFrom="margin">
                  <wp:align>center</wp:align>
                </wp:positionH>
                <wp:positionV relativeFrom="paragraph">
                  <wp:posOffset>406169</wp:posOffset>
                </wp:positionV>
                <wp:extent cx="6172835" cy="0"/>
                <wp:effectExtent l="0" t="19050" r="56515" b="38100"/>
                <wp:wrapSquare wrapText="bothSides"/>
                <wp:docPr id="2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170AC"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pt" to="48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bb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" o:allowincell="f" strokecolor="silver" strokeweight="4.8pt">
                <w10:wrap type="square" anchorx="margin"/>
              </v:line>
            </w:pict>
          </mc:Fallback>
        </mc:AlternateContent>
      </w:r>
      <w:r w:rsidRPr="00B67E3A">
        <w:t>Hoe snel is Oranje?</w:t>
      </w:r>
      <w:r w:rsidRPr="00B67E3A">
        <w:tab/>
        <w:t>1984-II(III)</w:t>
      </w:r>
      <w:bookmarkEnd w:id="3"/>
    </w:p>
    <w:p w:rsidR="00B52373" w:rsidRPr="00323624" w:rsidRDefault="00B52373" w:rsidP="00B52373">
      <w:r w:rsidRPr="00323624">
        <w:t>De oranje verbinding met de formule [(NH</w:t>
      </w:r>
      <w:r w:rsidRPr="00323624">
        <w:rPr>
          <w:vertAlign w:val="subscript"/>
        </w:rPr>
        <w:t>3</w:t>
      </w:r>
      <w:r w:rsidRPr="00323624">
        <w:t>)</w:t>
      </w:r>
      <w:r w:rsidRPr="00323624">
        <w:rPr>
          <w:vertAlign w:val="subscript"/>
        </w:rPr>
        <w:t>5</w:t>
      </w:r>
      <w:r w:rsidRPr="00323624">
        <w:t>Co(NO</w:t>
      </w:r>
      <w:r w:rsidRPr="00323624">
        <w:rPr>
          <w:vertAlign w:val="subscript"/>
        </w:rPr>
        <w:t>2</w:t>
      </w:r>
      <w:r w:rsidRPr="00323624">
        <w:t>)]Cl</w:t>
      </w:r>
      <w:r w:rsidRPr="00323624">
        <w:rPr>
          <w:vertAlign w:val="subscript"/>
        </w:rPr>
        <w:t>2</w:t>
      </w:r>
      <w:r w:rsidRPr="00323624">
        <w:t>, in het vervolg van deze opgave met ACl</w:t>
      </w:r>
      <w:r w:rsidRPr="00323624">
        <w:rPr>
          <w:vertAlign w:val="subscript"/>
        </w:rPr>
        <w:t>2</w:t>
      </w:r>
      <w:r w:rsidRPr="00323624">
        <w:t xml:space="preserve"> aangeduid, gaat langzaam volledig over in een geel gekleurde isomeer van stof ACl</w:t>
      </w:r>
      <w:r w:rsidRPr="00323624">
        <w:rPr>
          <w:vertAlign w:val="subscript"/>
        </w:rPr>
        <w:t>2</w:t>
      </w:r>
      <w:r w:rsidRPr="00323624">
        <w:t>. We duiden deze isomeer aan met BCl</w:t>
      </w:r>
      <w:r w:rsidRPr="00323624">
        <w:rPr>
          <w:vertAlign w:val="subscript"/>
        </w:rPr>
        <w:t>2</w:t>
      </w:r>
      <w:r w:rsidRPr="00323624">
        <w:t>.</w:t>
      </w:r>
    </w:p>
    <w:p w:rsidR="00B52373" w:rsidRPr="00323624" w:rsidRDefault="00B52373" w:rsidP="00B52373">
      <w:r w:rsidRPr="00323624">
        <w:t>Zowel ACl</w:t>
      </w:r>
      <w:r w:rsidRPr="00323624">
        <w:rPr>
          <w:vertAlign w:val="subscript"/>
        </w:rPr>
        <w:t>2</w:t>
      </w:r>
      <w:r w:rsidRPr="00323624">
        <w:t xml:space="preserve"> als BCl</w:t>
      </w:r>
      <w:r w:rsidRPr="00323624">
        <w:rPr>
          <w:vertAlign w:val="subscript"/>
        </w:rPr>
        <w:t>2</w:t>
      </w:r>
      <w:r w:rsidRPr="00323624">
        <w:t xml:space="preserve"> zijn in oplossing volledig geïoniseerd, ACl</w:t>
      </w:r>
      <w:r w:rsidRPr="00323624">
        <w:rPr>
          <w:vertAlign w:val="subscript"/>
        </w:rPr>
        <w:t>2</w:t>
      </w:r>
      <w:r w:rsidRPr="00323624">
        <w:t xml:space="preserve"> in A</w:t>
      </w:r>
      <w:r w:rsidRPr="00323624">
        <w:rPr>
          <w:vertAlign w:val="superscript"/>
        </w:rPr>
        <w:t>2+</w:t>
      </w:r>
      <w:r w:rsidRPr="00323624">
        <w:t xml:space="preserve"> en Cl</w:t>
      </w:r>
      <w:r w:rsidRPr="00323624">
        <w:rPr>
          <w:vertAlign w:val="superscript"/>
        </w:rPr>
        <w:sym w:font="Symbol" w:char="F02D"/>
      </w:r>
      <w:r w:rsidRPr="00323624">
        <w:t>, BCl</w:t>
      </w:r>
      <w:r w:rsidRPr="00323624">
        <w:rPr>
          <w:vertAlign w:val="subscript"/>
        </w:rPr>
        <w:t>2</w:t>
      </w:r>
      <w:r w:rsidRPr="00323624">
        <w:t xml:space="preserve"> in B</w:t>
      </w:r>
      <w:r w:rsidRPr="00323624">
        <w:rPr>
          <w:vertAlign w:val="superscript"/>
        </w:rPr>
        <w:t>2+</w:t>
      </w:r>
      <w:r w:rsidRPr="00323624">
        <w:t xml:space="preserve"> en Cl</w:t>
      </w:r>
      <w:r w:rsidRPr="00323624">
        <w:rPr>
          <w:vertAlign w:val="superscript"/>
        </w:rPr>
        <w:sym w:font="Symbol" w:char="F02D"/>
      </w:r>
      <w:r w:rsidRPr="00323624">
        <w:t>. Uitgaande van een ACl</w:t>
      </w:r>
      <w:r w:rsidRPr="00323624">
        <w:rPr>
          <w:vertAlign w:val="subscript"/>
        </w:rPr>
        <w:t>2</w:t>
      </w:r>
      <w:r w:rsidRPr="00323624">
        <w:t xml:space="preserve"> oplossing wordt een onderzoek ingesteld naar het verloop van de omzetting van A</w:t>
      </w:r>
      <w:r w:rsidRPr="00323624">
        <w:rPr>
          <w:vertAlign w:val="superscript"/>
        </w:rPr>
        <w:t>2+</w:t>
      </w:r>
      <w:r w:rsidRPr="00323624">
        <w:t xml:space="preserve"> in B</w:t>
      </w:r>
      <w:r w:rsidRPr="00323624">
        <w:rPr>
          <w:vertAlign w:val="superscript"/>
        </w:rPr>
        <w:t>2+</w:t>
      </w:r>
      <w:r w:rsidRPr="00323624">
        <w:t xml:space="preserve"> bij verschillende OH</w:t>
      </w:r>
      <w:r w:rsidRPr="00323624">
        <w:rPr>
          <w:vertAlign w:val="superscript"/>
        </w:rPr>
        <w:sym w:font="Symbol" w:char="F02D"/>
      </w:r>
      <w:r w:rsidRPr="00323624">
        <w:t xml:space="preserve"> concentraties. Aan de hand van de kleurverandering die optreedt bij de omzetting van A</w:t>
      </w:r>
      <w:r w:rsidRPr="00323624">
        <w:rPr>
          <w:vertAlign w:val="superscript"/>
        </w:rPr>
        <w:t>2+</w:t>
      </w:r>
      <w:r w:rsidRPr="00323624">
        <w:t xml:space="preserve"> in B</w:t>
      </w:r>
      <w:r w:rsidRPr="00323624">
        <w:rPr>
          <w:vertAlign w:val="superscript"/>
        </w:rPr>
        <w:t>2+</w:t>
      </w:r>
      <w:r w:rsidRPr="00323624">
        <w:t xml:space="preserve"> kan men vaststellen dat de omzetting in basisch milieu sneller verloopt dan in neutraal milieu.</w:t>
      </w:r>
    </w:p>
    <w:p w:rsidR="00B52373" w:rsidRPr="00323624" w:rsidRDefault="00B52373" w:rsidP="00B52373">
      <w:r w:rsidRPr="00323624">
        <w:t>Om te kunnen concluderen dat OH</w:t>
      </w:r>
      <w:r w:rsidRPr="00323624">
        <w:rPr>
          <w:vertAlign w:val="superscript"/>
        </w:rPr>
        <w:sym w:font="Symbol" w:char="F02D"/>
      </w:r>
      <w:r w:rsidRPr="00323624">
        <w:t xml:space="preserve"> hier als katalysator optreedt, moet niet alleen worden vastgesteld dat OH</w:t>
      </w:r>
      <w:r w:rsidRPr="00323624">
        <w:rPr>
          <w:vertAlign w:val="superscript"/>
        </w:rPr>
        <w:sym w:font="Symbol" w:char="F02D"/>
      </w:r>
      <w:r w:rsidRPr="00323624">
        <w:t xml:space="preserve"> de reactie versnelt.</w:t>
      </w:r>
    </w:p>
    <w:p w:rsidR="00B52373" w:rsidRPr="00E15BAA" w:rsidRDefault="00B52373" w:rsidP="00B52373">
      <w:pPr>
        <w:pStyle w:val="CSElijst"/>
        <w:numPr>
          <w:ilvl w:val="0"/>
          <w:numId w:val="7"/>
        </w:numPr>
        <w:ind w:left="0" w:hanging="709"/>
        <w:rPr>
          <w:lang w:val="nl-NL"/>
        </w:rPr>
      </w:pPr>
      <w:r w:rsidRPr="00E15BAA">
        <w:rPr>
          <w:lang w:val="nl-NL"/>
        </w:rPr>
        <w:t>Wat moet daartoe nog meer worden vastgesteld?</w:t>
      </w:r>
    </w:p>
    <w:p w:rsidR="00B52373" w:rsidRPr="00323624" w:rsidRDefault="00B52373" w:rsidP="00B52373">
      <w:r w:rsidRPr="00323624">
        <w:t>Bij de omzetting van A</w:t>
      </w:r>
      <w:r w:rsidRPr="00323624">
        <w:rPr>
          <w:vertAlign w:val="superscript"/>
        </w:rPr>
        <w:t>2+</w:t>
      </w:r>
      <w:r w:rsidRPr="00323624">
        <w:t xml:space="preserve"> in B</w:t>
      </w:r>
      <w:r w:rsidRPr="00323624">
        <w:rPr>
          <w:vertAlign w:val="superscript"/>
        </w:rPr>
        <w:t>2+</w:t>
      </w:r>
      <w:r w:rsidRPr="00323624">
        <w:t xml:space="preserve"> treedt OH</w:t>
      </w:r>
      <w:r w:rsidRPr="00323624">
        <w:rPr>
          <w:vertAlign w:val="superscript"/>
        </w:rPr>
        <w:sym w:font="Symbol" w:char="F02D"/>
      </w:r>
      <w:r w:rsidRPr="00323624">
        <w:t xml:space="preserve"> inderdaad als katalysator op.</w:t>
      </w:r>
      <w:r w:rsidRPr="00323624">
        <w:br/>
        <w:t>Voor de reactiesnelheid s van deze omzetting blijkt te gelden:</w:t>
      </w:r>
    </w:p>
    <w:p w:rsidR="00B52373" w:rsidRPr="00323624" w:rsidRDefault="00B52373" w:rsidP="00B52373">
      <w:pPr>
        <w:pStyle w:val="Vergelijking"/>
        <w:tabs>
          <w:tab w:val="left" w:pos="2835"/>
        </w:tabs>
      </w:pPr>
      <w:r w:rsidRPr="00323624">
        <w:rPr>
          <w:i/>
        </w:rPr>
        <w:t>s</w:t>
      </w:r>
      <w:r w:rsidRPr="00323624">
        <w:t xml:space="preserve"> = </w:t>
      </w:r>
      <w:r w:rsidRPr="00323624">
        <w:rPr>
          <w:i/>
        </w:rPr>
        <w:t>k</w:t>
      </w:r>
      <w:r w:rsidRPr="00323624">
        <w:t xml:space="preserve"> [A</w:t>
      </w:r>
      <w:r w:rsidRPr="00323624">
        <w:rPr>
          <w:vertAlign w:val="superscript"/>
        </w:rPr>
        <w:t>2+</w:t>
      </w:r>
      <w:r w:rsidRPr="00323624">
        <w:t>]</w:t>
      </w:r>
      <w:r w:rsidRPr="00323624">
        <w:tab/>
        <w:t>(1)</w:t>
      </w:r>
    </w:p>
    <w:p w:rsidR="00B52373" w:rsidRPr="00323624" w:rsidRDefault="00B52373" w:rsidP="00B52373">
      <w:r w:rsidRPr="00323624">
        <w:t>De reactiesnelheidsconstante k is afhankelijk van de concentratie van de katalysator OH</w:t>
      </w:r>
      <w:r w:rsidRPr="00323624">
        <w:rPr>
          <w:vertAlign w:val="superscript"/>
        </w:rPr>
        <w:sym w:font="Symbol" w:char="F02D"/>
      </w:r>
      <w:r w:rsidRPr="00323624">
        <w:t>.</w:t>
      </w:r>
    </w:p>
    <w:p w:rsidR="00B52373" w:rsidRPr="00323624" w:rsidRDefault="00B52373" w:rsidP="00B52373">
      <w:r w:rsidRPr="00323624">
        <w:t xml:space="preserve">Om te onderzoeken hoe </w:t>
      </w:r>
      <w:r w:rsidRPr="00323624">
        <w:rPr>
          <w:i/>
        </w:rPr>
        <w:t>k</w:t>
      </w:r>
      <w:r w:rsidRPr="00323624">
        <w:t xml:space="preserve"> afhangt van [OH</w:t>
      </w:r>
      <w:r w:rsidRPr="00323624">
        <w:rPr>
          <w:vertAlign w:val="superscript"/>
        </w:rPr>
        <w:sym w:font="Symbol" w:char="F02D"/>
      </w:r>
      <w:r w:rsidRPr="00323624">
        <w:t>] wordt een reeks proeven uitgevoerd waarbij [OH</w:t>
      </w:r>
      <w:r w:rsidRPr="00323624">
        <w:rPr>
          <w:vertAlign w:val="superscript"/>
        </w:rPr>
        <w:sym w:font="Symbol" w:char="F02D"/>
      </w:r>
      <w:r w:rsidRPr="00323624">
        <w:t>] wordt gevarieerd; alle andere reactieomstandigheden worden bij deze proeven gelijk gehouden. Uit de reactiesnelheden aan het begin van de proeven kunnen de waarden van k worden berekend. Deze waarden van k zijn in diagram 3.1 uitgezet tegen [OH</w:t>
      </w:r>
      <w:r w:rsidRPr="00323624">
        <w:rPr>
          <w:vertAlign w:val="superscript"/>
        </w:rPr>
        <w:sym w:font="Symbol" w:char="F02D"/>
      </w:r>
      <w:r w:rsidRPr="00323624">
        <w:t>].</w:t>
      </w:r>
    </w:p>
    <w:p w:rsidR="00B52373" w:rsidRPr="00323624" w:rsidRDefault="00B52373" w:rsidP="00B52373">
      <w:pPr>
        <w:pStyle w:val="Vergelijking"/>
      </w:pPr>
      <w:r w:rsidRPr="00323624">
        <w:rPr>
          <w:noProof/>
        </w:rPr>
        <w:drawing>
          <wp:inline distT="0" distB="0" distL="0" distR="0" wp14:anchorId="2AB0ED77" wp14:editId="6092CB11">
            <wp:extent cx="3830946" cy="2835626"/>
            <wp:effectExtent l="0" t="0" r="0" b="3175"/>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41027" cy="2843088"/>
                    </a:xfrm>
                    <a:prstGeom prst="rect">
                      <a:avLst/>
                    </a:prstGeom>
                  </pic:spPr>
                </pic:pic>
              </a:graphicData>
            </a:graphic>
          </wp:inline>
        </w:drawing>
      </w:r>
    </w:p>
    <w:p w:rsidR="00B52373" w:rsidRPr="00323624" w:rsidRDefault="00B52373" w:rsidP="00B52373">
      <w:pPr>
        <w:pStyle w:val="Bijschrift"/>
      </w:pPr>
      <w:r w:rsidRPr="00323624">
        <w:t>diagram 3.1</w:t>
      </w:r>
    </w:p>
    <w:p w:rsidR="00B52373" w:rsidRPr="00323624" w:rsidRDefault="00B52373" w:rsidP="00B52373">
      <w:r w:rsidRPr="00323624">
        <w:t>Uit het diagram blijkt dat de snelheid van de gekatalyseerde omzetting van A</w:t>
      </w:r>
      <w:r w:rsidRPr="00323624">
        <w:rPr>
          <w:vertAlign w:val="superscript"/>
        </w:rPr>
        <w:t>2+</w:t>
      </w:r>
      <w:r w:rsidRPr="00323624">
        <w:t xml:space="preserve"> in B</w:t>
      </w:r>
      <w:r w:rsidRPr="00323624">
        <w:rPr>
          <w:vertAlign w:val="superscript"/>
        </w:rPr>
        <w:t>2+</w:t>
      </w:r>
      <w:r w:rsidRPr="00323624">
        <w:t xml:space="preserve"> afhankelijk is van de concentratie van de katalysator OH-. Tevens blijkt uit het diagram dat ook een niet-gekatalyseerde omzetting van A</w:t>
      </w:r>
      <w:r w:rsidRPr="00323624">
        <w:rPr>
          <w:vertAlign w:val="superscript"/>
        </w:rPr>
        <w:t>2+</w:t>
      </w:r>
      <w:r w:rsidRPr="00323624">
        <w:t xml:space="preserve"> in B</w:t>
      </w:r>
      <w:r w:rsidRPr="00323624">
        <w:rPr>
          <w:vertAlign w:val="superscript"/>
        </w:rPr>
        <w:t>2+</w:t>
      </w:r>
      <w:r w:rsidRPr="00323624">
        <w:t xml:space="preserve"> plaatsvindt.</w:t>
      </w:r>
    </w:p>
    <w:p w:rsidR="00B52373" w:rsidRPr="00E15BAA" w:rsidRDefault="00B52373" w:rsidP="00B52373">
      <w:pPr>
        <w:pStyle w:val="CSElijst"/>
        <w:numPr>
          <w:ilvl w:val="0"/>
          <w:numId w:val="7"/>
        </w:numPr>
        <w:ind w:left="0" w:hanging="709"/>
        <w:rPr>
          <w:lang w:val="nl-NL"/>
        </w:rPr>
      </w:pPr>
      <w:r w:rsidRPr="00E15BAA">
        <w:rPr>
          <w:lang w:val="nl-NL"/>
        </w:rPr>
        <w:t>Leg uit hoe uit het diagram blijkt dat ook een niet-gekatalyseerde omzetting van A</w:t>
      </w:r>
      <w:r w:rsidRPr="00E15BAA">
        <w:rPr>
          <w:vertAlign w:val="superscript"/>
          <w:lang w:val="nl-NL"/>
        </w:rPr>
        <w:t>2+</w:t>
      </w:r>
      <w:r w:rsidRPr="00E15BAA">
        <w:rPr>
          <w:lang w:val="nl-NL"/>
        </w:rPr>
        <w:t xml:space="preserve"> in B</w:t>
      </w:r>
      <w:r w:rsidRPr="00E15BAA">
        <w:rPr>
          <w:vertAlign w:val="superscript"/>
          <w:lang w:val="nl-NL"/>
        </w:rPr>
        <w:t>2+</w:t>
      </w:r>
      <w:r w:rsidRPr="00E15BAA">
        <w:rPr>
          <w:lang w:val="nl-NL"/>
        </w:rPr>
        <w:t xml:space="preserve"> plaatsvindt.</w:t>
      </w:r>
    </w:p>
    <w:p w:rsidR="00B52373" w:rsidRPr="00323624" w:rsidRDefault="00B52373" w:rsidP="00B52373">
      <w:r w:rsidRPr="00323624">
        <w:t xml:space="preserve">Voor de reactiesnelheid </w:t>
      </w:r>
      <w:r w:rsidRPr="0030452A">
        <w:rPr>
          <w:i/>
        </w:rPr>
        <w:t>s</w:t>
      </w:r>
      <w:r w:rsidRPr="0030452A">
        <w:rPr>
          <w:vertAlign w:val="subscript"/>
        </w:rPr>
        <w:t>1</w:t>
      </w:r>
      <w:r w:rsidRPr="00323624">
        <w:t xml:space="preserve"> van de niet-gekatalyseerde reactie blijkt te gelden:</w:t>
      </w:r>
    </w:p>
    <w:p w:rsidR="00B52373" w:rsidRPr="00323624" w:rsidRDefault="00B52373" w:rsidP="00B52373">
      <w:pPr>
        <w:pStyle w:val="Vergelijking"/>
        <w:tabs>
          <w:tab w:val="left" w:pos="2835"/>
        </w:tabs>
      </w:pPr>
      <w:r w:rsidRPr="00323624">
        <w:rPr>
          <w:i/>
        </w:rPr>
        <w:t>s</w:t>
      </w:r>
      <w:r w:rsidRPr="00323624">
        <w:rPr>
          <w:vertAlign w:val="subscript"/>
        </w:rPr>
        <w:t>1</w:t>
      </w:r>
      <w:r w:rsidRPr="00323624">
        <w:t xml:space="preserve"> = </w:t>
      </w:r>
      <w:r w:rsidRPr="00323624">
        <w:rPr>
          <w:i/>
        </w:rPr>
        <w:t>k</w:t>
      </w:r>
      <w:r w:rsidRPr="00323624">
        <w:rPr>
          <w:vertAlign w:val="subscript"/>
        </w:rPr>
        <w:t>1</w:t>
      </w:r>
      <w:r w:rsidRPr="00323624">
        <w:t xml:space="preserve"> [A</w:t>
      </w:r>
      <w:r w:rsidRPr="00323624">
        <w:rPr>
          <w:vertAlign w:val="superscript"/>
        </w:rPr>
        <w:t>2+</w:t>
      </w:r>
      <w:r w:rsidRPr="00323624">
        <w:t>]</w:t>
      </w:r>
      <w:r w:rsidRPr="00323624">
        <w:tab/>
        <w:t>(2)</w:t>
      </w:r>
    </w:p>
    <w:p w:rsidR="00B52373" w:rsidRPr="00323624" w:rsidRDefault="00B52373" w:rsidP="00B52373">
      <w:r w:rsidRPr="00323624">
        <w:lastRenderedPageBreak/>
        <w:t>Van de gekatalyseerde reactie veronderstelt men dat deze in twee stappen verloopt. Bij de eerste stap, die snelheidsbepalend is, wordt uit A</w:t>
      </w:r>
      <w:r w:rsidRPr="00323624">
        <w:rPr>
          <w:vertAlign w:val="superscript"/>
        </w:rPr>
        <w:t>2+</w:t>
      </w:r>
      <w:r w:rsidRPr="00323624">
        <w:t xml:space="preserve"> en OH</w:t>
      </w:r>
      <w:r w:rsidRPr="00323624">
        <w:rPr>
          <w:vertAlign w:val="superscript"/>
        </w:rPr>
        <w:sym w:font="Symbol" w:char="F02D"/>
      </w:r>
      <w:r w:rsidRPr="00323624">
        <w:t xml:space="preserve"> een tussenproduct gevormd; bij de tweede stap valt dit tussenproduct uiteen in OH</w:t>
      </w:r>
      <w:r w:rsidRPr="00323624">
        <w:rPr>
          <w:vertAlign w:val="superscript"/>
        </w:rPr>
        <w:sym w:font="Symbol" w:char="F02D"/>
      </w:r>
      <w:r w:rsidRPr="00323624">
        <w:t xml:space="preserve"> en B</w:t>
      </w:r>
      <w:r w:rsidRPr="00323624">
        <w:rPr>
          <w:vertAlign w:val="superscript"/>
        </w:rPr>
        <w:t>2+</w:t>
      </w:r>
      <w:r w:rsidRPr="00323624">
        <w:t>:</w:t>
      </w:r>
    </w:p>
    <w:p w:rsidR="00B52373" w:rsidRPr="00323624" w:rsidRDefault="00B52373" w:rsidP="00B52373">
      <w:pPr>
        <w:pStyle w:val="Vergelijking"/>
        <w:rPr>
          <w:lang w:val="en-US"/>
        </w:rPr>
      </w:pPr>
      <w:r w:rsidRPr="00323624">
        <w:rPr>
          <w:lang w:val="en-US"/>
        </w:rPr>
        <w:t>A</w:t>
      </w:r>
      <w:r w:rsidRPr="00323624">
        <w:rPr>
          <w:vertAlign w:val="superscript"/>
          <w:lang w:val="en-US"/>
        </w:rPr>
        <w:t>2+</w:t>
      </w:r>
      <w:r w:rsidRPr="00323624">
        <w:rPr>
          <w:lang w:val="en-US"/>
        </w:rPr>
        <w:t xml:space="preserve"> + n OH</w:t>
      </w:r>
      <w:r w:rsidRPr="00323624">
        <w:rPr>
          <w:vertAlign w:val="superscript"/>
          <w:lang w:val="en-US"/>
        </w:rPr>
        <w:sym w:font="Symbol" w:char="F02D"/>
      </w:r>
      <w:r w:rsidRPr="00323624">
        <w:rPr>
          <w:lang w:val="en-US"/>
        </w:rPr>
        <w:t xml:space="preserve"> + A(OH)</w:t>
      </w:r>
      <w:r w:rsidRPr="00323624">
        <w:rPr>
          <w:vertAlign w:val="subscript"/>
          <w:lang w:val="en-US"/>
        </w:rPr>
        <w:t>n</w:t>
      </w:r>
      <w:r w:rsidRPr="00323624">
        <w:rPr>
          <w:vertAlign w:val="superscript"/>
          <w:lang w:val="en-US"/>
        </w:rPr>
        <w:t>(2</w:t>
      </w:r>
      <w:r w:rsidRPr="00323624">
        <w:rPr>
          <w:vertAlign w:val="superscript"/>
          <w:lang w:val="en-US"/>
        </w:rPr>
        <w:sym w:font="Symbol" w:char="F02D"/>
      </w:r>
      <w:r w:rsidRPr="00323624">
        <w:rPr>
          <w:vertAlign w:val="superscript"/>
          <w:lang w:val="en-US"/>
        </w:rPr>
        <w:t>n)+</w:t>
      </w:r>
      <w:r w:rsidRPr="00323624">
        <w:rPr>
          <w:lang w:val="en-US"/>
        </w:rPr>
        <w:t xml:space="preserve"> </w:t>
      </w:r>
      <w:r w:rsidRPr="00323624">
        <w:rPr>
          <w:lang w:val="en-US"/>
        </w:rPr>
        <w:sym w:font="Symbol" w:char="F0AE"/>
      </w:r>
      <w:r w:rsidRPr="00323624">
        <w:rPr>
          <w:lang w:val="en-US"/>
        </w:rPr>
        <w:t xml:space="preserve"> n OH</w:t>
      </w:r>
      <w:r w:rsidRPr="00323624">
        <w:rPr>
          <w:vertAlign w:val="superscript"/>
          <w:lang w:val="en-US"/>
        </w:rPr>
        <w:sym w:font="Symbol" w:char="F02D"/>
      </w:r>
      <w:r w:rsidRPr="00323624">
        <w:rPr>
          <w:lang w:val="en-US"/>
        </w:rPr>
        <w:t xml:space="preserve"> + B</w:t>
      </w:r>
      <w:r w:rsidRPr="00323624">
        <w:rPr>
          <w:vertAlign w:val="superscript"/>
          <w:lang w:val="en-US"/>
        </w:rPr>
        <w:t>2+</w:t>
      </w:r>
    </w:p>
    <w:p w:rsidR="00B52373" w:rsidRPr="00323624" w:rsidRDefault="00B52373" w:rsidP="00B52373">
      <w:r w:rsidRPr="00323624">
        <w:t xml:space="preserve">De reactiesnelheid </w:t>
      </w:r>
      <w:r w:rsidRPr="00323624">
        <w:rPr>
          <w:i/>
        </w:rPr>
        <w:t>s</w:t>
      </w:r>
      <w:r w:rsidRPr="00323624">
        <w:rPr>
          <w:vertAlign w:val="subscript"/>
        </w:rPr>
        <w:t>2</w:t>
      </w:r>
      <w:r w:rsidRPr="00323624">
        <w:t xml:space="preserve"> voor deze reactie kan weergegeven worden door:</w:t>
      </w:r>
    </w:p>
    <w:p w:rsidR="00B52373" w:rsidRPr="00323624" w:rsidRDefault="00B52373" w:rsidP="00B52373">
      <w:pPr>
        <w:pStyle w:val="Vergelijking"/>
        <w:tabs>
          <w:tab w:val="left" w:pos="2835"/>
        </w:tabs>
      </w:pPr>
      <w:r w:rsidRPr="00323624">
        <w:rPr>
          <w:i/>
        </w:rPr>
        <w:t>s</w:t>
      </w:r>
      <w:r w:rsidRPr="00323624">
        <w:rPr>
          <w:vertAlign w:val="subscript"/>
        </w:rPr>
        <w:t>2</w:t>
      </w:r>
      <w:r w:rsidRPr="00323624">
        <w:t xml:space="preserve"> = </w:t>
      </w:r>
      <w:r w:rsidRPr="00323624">
        <w:rPr>
          <w:i/>
        </w:rPr>
        <w:t>k</w:t>
      </w:r>
      <w:r w:rsidRPr="00323624">
        <w:rPr>
          <w:vertAlign w:val="subscript"/>
        </w:rPr>
        <w:t>2</w:t>
      </w:r>
      <w:r w:rsidRPr="00323624">
        <w:t xml:space="preserve"> [A</w:t>
      </w:r>
      <w:r w:rsidRPr="00323624">
        <w:rPr>
          <w:vertAlign w:val="superscript"/>
        </w:rPr>
        <w:t>2+</w:t>
      </w:r>
      <w:r w:rsidRPr="00323624">
        <w:t>] [OH</w:t>
      </w:r>
      <w:r w:rsidRPr="00323624">
        <w:rPr>
          <w:vertAlign w:val="superscript"/>
        </w:rPr>
        <w:sym w:font="Symbol" w:char="F02D"/>
      </w:r>
      <w:r w:rsidRPr="00323624">
        <w:t>]</w:t>
      </w:r>
      <w:r w:rsidRPr="00323624">
        <w:rPr>
          <w:vertAlign w:val="superscript"/>
        </w:rPr>
        <w:t>n</w:t>
      </w:r>
      <w:r w:rsidRPr="00323624">
        <w:tab/>
        <w:t>(3)</w:t>
      </w:r>
    </w:p>
    <w:p w:rsidR="00B52373" w:rsidRPr="00323624" w:rsidRDefault="00B52373" w:rsidP="00B52373">
      <w:r w:rsidRPr="00323624">
        <w:t>Uit de vergelijkingen (1), (2) en (3) kan men de volgende betrekking afleiden:</w:t>
      </w:r>
    </w:p>
    <w:p w:rsidR="00B52373" w:rsidRPr="00323624" w:rsidRDefault="00B52373" w:rsidP="00B52373">
      <w:pPr>
        <w:pStyle w:val="Vergelijking"/>
      </w:pPr>
      <w:r w:rsidRPr="00323624">
        <w:rPr>
          <w:i/>
        </w:rPr>
        <w:t>k</w:t>
      </w:r>
      <w:r w:rsidRPr="00323624">
        <w:t xml:space="preserve"> = </w:t>
      </w:r>
      <w:r w:rsidRPr="00323624">
        <w:rPr>
          <w:i/>
        </w:rPr>
        <w:t>k</w:t>
      </w:r>
      <w:r w:rsidRPr="00323624">
        <w:rPr>
          <w:vertAlign w:val="subscript"/>
        </w:rPr>
        <w:t>1</w:t>
      </w:r>
      <w:r w:rsidRPr="00323624">
        <w:t xml:space="preserve"> + </w:t>
      </w:r>
      <w:r w:rsidRPr="000F7D00">
        <w:rPr>
          <w:i/>
        </w:rPr>
        <w:t>k</w:t>
      </w:r>
      <w:r w:rsidRPr="00323624">
        <w:rPr>
          <w:vertAlign w:val="subscript"/>
        </w:rPr>
        <w:t>2</w:t>
      </w:r>
      <w:r w:rsidRPr="00323624">
        <w:t>[OH</w:t>
      </w:r>
      <w:r w:rsidRPr="00323624">
        <w:rPr>
          <w:vertAlign w:val="superscript"/>
        </w:rPr>
        <w:sym w:font="Symbol" w:char="F02D"/>
      </w:r>
      <w:r w:rsidRPr="00323624">
        <w:t>]</w:t>
      </w:r>
      <w:r w:rsidRPr="00323624">
        <w:rPr>
          <w:vertAlign w:val="superscript"/>
        </w:rPr>
        <w:t>n</w:t>
      </w:r>
    </w:p>
    <w:p w:rsidR="00B52373" w:rsidRPr="00323624" w:rsidRDefault="00B52373" w:rsidP="00B52373">
      <w:r w:rsidRPr="00323624">
        <w:t>Uit diagra</w:t>
      </w:r>
      <w:r>
        <w:t>m</w:t>
      </w:r>
      <w:r w:rsidRPr="00323624">
        <w:t xml:space="preserve"> 3.1 volgt dat n de waarde 1 moet hebben.</w:t>
      </w:r>
    </w:p>
    <w:p w:rsidR="00B52373" w:rsidRPr="00E15BAA" w:rsidRDefault="00B52373" w:rsidP="00B52373">
      <w:pPr>
        <w:pStyle w:val="CSElijst"/>
        <w:numPr>
          <w:ilvl w:val="0"/>
          <w:numId w:val="7"/>
        </w:numPr>
        <w:ind w:left="0" w:hanging="709"/>
        <w:rPr>
          <w:lang w:val="nl-NL"/>
        </w:rPr>
      </w:pPr>
      <w:r w:rsidRPr="00E15BAA">
        <w:rPr>
          <w:lang w:val="nl-NL"/>
        </w:rPr>
        <w:t>Leg aan de hand van het diagram uit dat n de waarde 1 heeft.</w:t>
      </w:r>
    </w:p>
    <w:p w:rsidR="00B52373" w:rsidRPr="00E15BAA" w:rsidRDefault="00B52373" w:rsidP="00B52373">
      <w:pPr>
        <w:pStyle w:val="CSElijst"/>
        <w:numPr>
          <w:ilvl w:val="0"/>
          <w:numId w:val="7"/>
        </w:numPr>
        <w:ind w:left="0" w:hanging="709"/>
        <w:rPr>
          <w:lang w:val="nl-NL"/>
        </w:rPr>
      </w:pPr>
      <w:r w:rsidRPr="00E15BAA">
        <w:rPr>
          <w:lang w:val="nl-NL"/>
        </w:rPr>
        <w:t xml:space="preserve">Leid de waarde van </w:t>
      </w:r>
      <w:r w:rsidRPr="00E15BAA">
        <w:rPr>
          <w:i/>
          <w:lang w:val="nl-NL"/>
        </w:rPr>
        <w:t>k</w:t>
      </w:r>
      <w:r w:rsidRPr="00E15BAA">
        <w:rPr>
          <w:vertAlign w:val="subscript"/>
          <w:lang w:val="nl-NL"/>
        </w:rPr>
        <w:t>1</w:t>
      </w:r>
      <w:r w:rsidRPr="00E15BAA">
        <w:rPr>
          <w:lang w:val="nl-NL"/>
        </w:rPr>
        <w:t xml:space="preserve"> en van </w:t>
      </w:r>
      <w:r w:rsidRPr="00E15BAA">
        <w:rPr>
          <w:i/>
          <w:lang w:val="nl-NL"/>
        </w:rPr>
        <w:t>k</w:t>
      </w:r>
      <w:r w:rsidRPr="00E15BAA">
        <w:rPr>
          <w:vertAlign w:val="subscript"/>
          <w:lang w:val="nl-NL"/>
        </w:rPr>
        <w:t>2</w:t>
      </w:r>
      <w:r w:rsidRPr="00E15BAA">
        <w:rPr>
          <w:lang w:val="nl-NL"/>
        </w:rPr>
        <w:t xml:space="preserve"> af met behulp van de gegevens uit onderstaande tabel waarin enkele van de berekende waarden voor </w:t>
      </w:r>
      <w:r w:rsidRPr="00E15BAA">
        <w:rPr>
          <w:i/>
          <w:lang w:val="nl-NL"/>
        </w:rPr>
        <w:t>k</w:t>
      </w:r>
      <w:r w:rsidRPr="00E15BAA">
        <w:rPr>
          <w:lang w:val="nl-NL"/>
        </w:rPr>
        <w:t xml:space="preserve"> staan.</w:t>
      </w:r>
    </w:p>
    <w:tbl>
      <w:tblPr>
        <w:tblW w:w="0" w:type="auto"/>
        <w:tblInd w:w="415" w:type="dxa"/>
        <w:tblCellMar>
          <w:left w:w="0" w:type="dxa"/>
          <w:right w:w="0" w:type="dxa"/>
        </w:tblCellMar>
        <w:tblLook w:val="0000" w:firstRow="0" w:lastRow="0" w:firstColumn="0" w:lastColumn="0" w:noHBand="0" w:noVBand="0"/>
      </w:tblPr>
      <w:tblGrid>
        <w:gridCol w:w="1671"/>
        <w:gridCol w:w="1133"/>
      </w:tblGrid>
      <w:tr w:rsidR="00B52373" w:rsidRPr="00323624" w:rsidTr="00502442">
        <w:trPr>
          <w:trHeight w:val="551"/>
        </w:trPr>
        <w:tc>
          <w:tcPr>
            <w:tcW w:w="0" w:type="auto"/>
            <w:tcBorders>
              <w:top w:val="single" w:sz="5" w:space="0" w:color="auto"/>
              <w:left w:val="single" w:sz="5" w:space="0" w:color="auto"/>
              <w:right w:val="single" w:sz="5" w:space="0" w:color="auto"/>
            </w:tcBorders>
            <w:tcMar>
              <w:left w:w="85" w:type="dxa"/>
              <w:right w:w="85" w:type="dxa"/>
            </w:tcMar>
            <w:vAlign w:val="center"/>
          </w:tcPr>
          <w:p w:rsidR="00B52373" w:rsidRPr="00323624" w:rsidRDefault="00B52373" w:rsidP="00502442">
            <w:r w:rsidRPr="00323624">
              <w:t>[OH</w:t>
            </w:r>
            <w:r w:rsidRPr="00323624">
              <w:rPr>
                <w:vertAlign w:val="superscript"/>
              </w:rPr>
              <w:sym w:font="Symbol" w:char="F02D"/>
            </w:r>
            <w:r w:rsidRPr="00323624">
              <w:t>]</w:t>
            </w:r>
            <w:r>
              <w:t xml:space="preserve"> </w:t>
            </w:r>
            <w:r w:rsidRPr="00323624">
              <w:t>in mol L</w:t>
            </w:r>
            <w:r w:rsidRPr="00323624">
              <w:rPr>
                <w:vertAlign w:val="superscript"/>
              </w:rPr>
              <w:sym w:font="Symbol" w:char="F02D"/>
            </w:r>
            <w:r w:rsidRPr="00323624">
              <w:rPr>
                <w:vertAlign w:val="superscript"/>
              </w:rPr>
              <w:t>1</w:t>
            </w:r>
          </w:p>
        </w:tc>
        <w:tc>
          <w:tcPr>
            <w:tcW w:w="0" w:type="auto"/>
            <w:tcBorders>
              <w:top w:val="single" w:sz="5" w:space="0" w:color="auto"/>
              <w:left w:val="single" w:sz="5" w:space="0" w:color="auto"/>
              <w:right w:val="single" w:sz="5" w:space="0" w:color="auto"/>
            </w:tcBorders>
            <w:tcMar>
              <w:left w:w="85" w:type="dxa"/>
              <w:right w:w="85" w:type="dxa"/>
            </w:tcMar>
            <w:vAlign w:val="center"/>
          </w:tcPr>
          <w:p w:rsidR="00B52373" w:rsidRPr="00323624" w:rsidRDefault="00B52373" w:rsidP="00502442">
            <w:pPr>
              <w:rPr>
                <w:i/>
              </w:rPr>
            </w:pPr>
            <w:r w:rsidRPr="00323624">
              <w:rPr>
                <w:i/>
              </w:rPr>
              <w:t>k</w:t>
            </w:r>
            <w:r>
              <w:rPr>
                <w:i/>
              </w:rPr>
              <w:t xml:space="preserve"> </w:t>
            </w:r>
            <w:r w:rsidRPr="00323624">
              <w:t>in s</w:t>
            </w:r>
            <w:r w:rsidRPr="00323624">
              <w:rPr>
                <w:vertAlign w:val="superscript"/>
              </w:rPr>
              <w:sym w:font="Symbol" w:char="F02D"/>
            </w:r>
            <w:r w:rsidRPr="00323624">
              <w:rPr>
                <w:vertAlign w:val="superscript"/>
              </w:rPr>
              <w:t>1</w:t>
            </w:r>
          </w:p>
        </w:tc>
      </w:tr>
      <w:tr w:rsidR="00B52373" w:rsidRPr="00323624" w:rsidTr="00502442">
        <w:tc>
          <w:tcPr>
            <w:tcW w:w="0" w:type="auto"/>
            <w:tcBorders>
              <w:top w:val="single" w:sz="5" w:space="0" w:color="auto"/>
              <w:left w:val="single" w:sz="5" w:space="0" w:color="auto"/>
              <w:bottom w:val="nil"/>
              <w:right w:val="single" w:sz="5" w:space="0" w:color="auto"/>
            </w:tcBorders>
            <w:tcMar>
              <w:left w:w="85" w:type="dxa"/>
              <w:right w:w="85" w:type="dxa"/>
            </w:tcMar>
          </w:tcPr>
          <w:p w:rsidR="00B52373" w:rsidRPr="00323624" w:rsidRDefault="00B52373" w:rsidP="00502442">
            <w:pPr>
              <w:tabs>
                <w:tab w:val="decimal" w:pos="300"/>
              </w:tabs>
            </w:pPr>
            <w:r w:rsidRPr="00323624">
              <w:t>0,000</w:t>
            </w:r>
          </w:p>
        </w:tc>
        <w:tc>
          <w:tcPr>
            <w:tcW w:w="0" w:type="auto"/>
            <w:tcBorders>
              <w:top w:val="single" w:sz="5" w:space="0" w:color="auto"/>
              <w:left w:val="single" w:sz="5" w:space="0" w:color="auto"/>
              <w:bottom w:val="nil"/>
              <w:right w:val="single" w:sz="5" w:space="0" w:color="auto"/>
            </w:tcBorders>
            <w:tcMar>
              <w:left w:w="85" w:type="dxa"/>
              <w:right w:w="85" w:type="dxa"/>
            </w:tcMar>
          </w:tcPr>
          <w:p w:rsidR="00B52373" w:rsidRPr="00323624" w:rsidRDefault="00B52373" w:rsidP="00502442">
            <w:pPr>
              <w:tabs>
                <w:tab w:val="decimal" w:pos="266"/>
              </w:tabs>
            </w:pPr>
            <w:r w:rsidRPr="00323624">
              <w:t>6,35</w:t>
            </w:r>
            <w:r w:rsidRPr="00323624">
              <w:sym w:font="Symbol" w:char="F0D7"/>
            </w:r>
            <w:r w:rsidRPr="00323624">
              <w:t>10</w:t>
            </w:r>
            <w:r w:rsidRPr="000F7D00">
              <w:rPr>
                <w:vertAlign w:val="superscript"/>
              </w:rPr>
              <w:sym w:font="Symbol" w:char="F02D"/>
            </w:r>
            <w:r w:rsidRPr="000F7D00">
              <w:rPr>
                <w:vertAlign w:val="superscript"/>
              </w:rPr>
              <w:t>5</w:t>
            </w:r>
          </w:p>
        </w:tc>
      </w:tr>
      <w:tr w:rsidR="00B52373" w:rsidRPr="00323624" w:rsidTr="00502442">
        <w:tc>
          <w:tcPr>
            <w:tcW w:w="0" w:type="auto"/>
            <w:tcBorders>
              <w:top w:val="nil"/>
              <w:left w:val="single" w:sz="5" w:space="0" w:color="auto"/>
              <w:bottom w:val="nil"/>
              <w:right w:val="single" w:sz="5" w:space="0" w:color="auto"/>
            </w:tcBorders>
            <w:tcMar>
              <w:left w:w="85" w:type="dxa"/>
              <w:right w:w="85" w:type="dxa"/>
            </w:tcMar>
            <w:vAlign w:val="center"/>
          </w:tcPr>
          <w:p w:rsidR="00B52373" w:rsidRPr="00323624" w:rsidRDefault="00B52373" w:rsidP="00502442">
            <w:pPr>
              <w:tabs>
                <w:tab w:val="decimal" w:pos="300"/>
              </w:tabs>
            </w:pPr>
            <w:r w:rsidRPr="00323624">
              <w:t>0,010</w:t>
            </w:r>
          </w:p>
        </w:tc>
        <w:tc>
          <w:tcPr>
            <w:tcW w:w="0" w:type="auto"/>
            <w:tcBorders>
              <w:top w:val="nil"/>
              <w:left w:val="single" w:sz="5" w:space="0" w:color="auto"/>
              <w:bottom w:val="nil"/>
              <w:right w:val="single" w:sz="5" w:space="0" w:color="auto"/>
            </w:tcBorders>
            <w:tcMar>
              <w:left w:w="85" w:type="dxa"/>
              <w:right w:w="85" w:type="dxa"/>
            </w:tcMar>
            <w:vAlign w:val="center"/>
          </w:tcPr>
          <w:p w:rsidR="00B52373" w:rsidRPr="00323624" w:rsidRDefault="00B52373" w:rsidP="00502442">
            <w:pPr>
              <w:tabs>
                <w:tab w:val="decimal" w:pos="266"/>
              </w:tabs>
            </w:pPr>
            <w:r w:rsidRPr="00323624">
              <w:t>12,5</w:t>
            </w:r>
            <w:r w:rsidRPr="00323624">
              <w:sym w:font="Symbol" w:char="F0D7"/>
            </w:r>
            <w:r w:rsidRPr="00323624">
              <w:t>10</w:t>
            </w:r>
            <w:r w:rsidRPr="000F7D00">
              <w:rPr>
                <w:vertAlign w:val="superscript"/>
              </w:rPr>
              <w:sym w:font="Symbol" w:char="F02D"/>
            </w:r>
            <w:r w:rsidRPr="000F7D00">
              <w:rPr>
                <w:vertAlign w:val="superscript"/>
              </w:rPr>
              <w:t>5</w:t>
            </w:r>
          </w:p>
        </w:tc>
      </w:tr>
      <w:tr w:rsidR="00B52373" w:rsidRPr="00323624" w:rsidTr="00502442">
        <w:tc>
          <w:tcPr>
            <w:tcW w:w="0" w:type="auto"/>
            <w:tcBorders>
              <w:top w:val="nil"/>
              <w:left w:val="single" w:sz="5" w:space="0" w:color="auto"/>
              <w:bottom w:val="nil"/>
              <w:right w:val="single" w:sz="5" w:space="0" w:color="auto"/>
            </w:tcBorders>
            <w:tcMar>
              <w:left w:w="85" w:type="dxa"/>
              <w:right w:w="85" w:type="dxa"/>
            </w:tcMar>
            <w:vAlign w:val="center"/>
          </w:tcPr>
          <w:p w:rsidR="00B52373" w:rsidRPr="00323624" w:rsidRDefault="00B52373" w:rsidP="00502442">
            <w:pPr>
              <w:tabs>
                <w:tab w:val="decimal" w:pos="300"/>
              </w:tabs>
            </w:pPr>
            <w:r w:rsidRPr="00323624">
              <w:t>0,025</w:t>
            </w:r>
          </w:p>
        </w:tc>
        <w:tc>
          <w:tcPr>
            <w:tcW w:w="0" w:type="auto"/>
            <w:tcBorders>
              <w:top w:val="nil"/>
              <w:left w:val="single" w:sz="5" w:space="0" w:color="auto"/>
              <w:bottom w:val="nil"/>
              <w:right w:val="single" w:sz="5" w:space="0" w:color="auto"/>
            </w:tcBorders>
            <w:tcMar>
              <w:left w:w="85" w:type="dxa"/>
              <w:right w:w="85" w:type="dxa"/>
            </w:tcMar>
            <w:vAlign w:val="center"/>
          </w:tcPr>
          <w:p w:rsidR="00B52373" w:rsidRPr="00323624" w:rsidRDefault="00B52373" w:rsidP="00502442">
            <w:pPr>
              <w:tabs>
                <w:tab w:val="decimal" w:pos="266"/>
              </w:tabs>
            </w:pPr>
            <w:r w:rsidRPr="00323624">
              <w:t>21,8</w:t>
            </w:r>
            <w:r w:rsidRPr="00323624">
              <w:sym w:font="Symbol" w:char="F0D7"/>
            </w:r>
            <w:r w:rsidRPr="00323624">
              <w:t>10</w:t>
            </w:r>
            <w:r w:rsidRPr="000F7D00">
              <w:rPr>
                <w:vertAlign w:val="superscript"/>
              </w:rPr>
              <w:sym w:font="Symbol" w:char="F02D"/>
            </w:r>
            <w:r w:rsidRPr="000F7D00">
              <w:rPr>
                <w:vertAlign w:val="superscript"/>
              </w:rPr>
              <w:t>5</w:t>
            </w:r>
          </w:p>
        </w:tc>
      </w:tr>
      <w:tr w:rsidR="00B52373" w:rsidRPr="00323624" w:rsidTr="00502442">
        <w:tc>
          <w:tcPr>
            <w:tcW w:w="0" w:type="auto"/>
            <w:tcBorders>
              <w:top w:val="nil"/>
              <w:left w:val="single" w:sz="5" w:space="0" w:color="auto"/>
              <w:bottom w:val="single" w:sz="5" w:space="0" w:color="auto"/>
              <w:right w:val="single" w:sz="5" w:space="0" w:color="auto"/>
            </w:tcBorders>
            <w:tcMar>
              <w:left w:w="85" w:type="dxa"/>
              <w:right w:w="85" w:type="dxa"/>
            </w:tcMar>
          </w:tcPr>
          <w:p w:rsidR="00B52373" w:rsidRPr="00323624" w:rsidRDefault="00B52373" w:rsidP="00502442">
            <w:pPr>
              <w:tabs>
                <w:tab w:val="decimal" w:pos="300"/>
              </w:tabs>
            </w:pPr>
            <w:r w:rsidRPr="00323624">
              <w:t>0,10</w:t>
            </w:r>
          </w:p>
        </w:tc>
        <w:tc>
          <w:tcPr>
            <w:tcW w:w="0" w:type="auto"/>
            <w:tcBorders>
              <w:top w:val="nil"/>
              <w:left w:val="single" w:sz="5" w:space="0" w:color="auto"/>
              <w:bottom w:val="single" w:sz="5" w:space="0" w:color="auto"/>
              <w:right w:val="single" w:sz="5" w:space="0" w:color="auto"/>
            </w:tcBorders>
            <w:tcMar>
              <w:left w:w="85" w:type="dxa"/>
              <w:right w:w="85" w:type="dxa"/>
            </w:tcMar>
          </w:tcPr>
          <w:p w:rsidR="00B52373" w:rsidRPr="00323624" w:rsidRDefault="00B52373" w:rsidP="00502442">
            <w:pPr>
              <w:tabs>
                <w:tab w:val="decimal" w:pos="266"/>
              </w:tabs>
            </w:pPr>
            <w:r w:rsidRPr="00323624">
              <w:t>68,6</w:t>
            </w:r>
            <w:r w:rsidRPr="00323624">
              <w:sym w:font="Symbol" w:char="F0D7"/>
            </w:r>
            <w:r w:rsidRPr="00323624">
              <w:t>10</w:t>
            </w:r>
            <w:r w:rsidRPr="000F7D00">
              <w:rPr>
                <w:vertAlign w:val="superscript"/>
              </w:rPr>
              <w:sym w:font="Symbol" w:char="F02D"/>
            </w:r>
            <w:r w:rsidRPr="000F7D00">
              <w:rPr>
                <w:vertAlign w:val="superscript"/>
              </w:rPr>
              <w:t>5</w:t>
            </w:r>
          </w:p>
        </w:tc>
      </w:tr>
    </w:tbl>
    <w:p w:rsidR="00B52373" w:rsidRPr="00323624" w:rsidRDefault="00B52373" w:rsidP="00B52373">
      <w:pPr>
        <w:pStyle w:val="Interlinie"/>
      </w:pPr>
      <w:r w:rsidRPr="00323624">
        <w:t xml:space="preserve">Het blijkt dat </w:t>
      </w:r>
      <w:r w:rsidRPr="00323624">
        <w:rPr>
          <w:i/>
        </w:rPr>
        <w:t>k</w:t>
      </w:r>
      <w:r w:rsidRPr="00323624">
        <w:rPr>
          <w:vertAlign w:val="subscript"/>
        </w:rPr>
        <w:t>2</w:t>
      </w:r>
      <w:r w:rsidRPr="00323624">
        <w:t xml:space="preserve"> ongeveer honderdmaal zo groot is als </w:t>
      </w:r>
      <w:r w:rsidRPr="00323624">
        <w:rPr>
          <w:i/>
        </w:rPr>
        <w:t>k</w:t>
      </w:r>
      <w:r w:rsidRPr="00323624">
        <w:rPr>
          <w:vertAlign w:val="subscript"/>
        </w:rPr>
        <w:t>1</w:t>
      </w:r>
      <w:r w:rsidRPr="00323624">
        <w:t>.</w:t>
      </w:r>
    </w:p>
    <w:p w:rsidR="00B52373" w:rsidRPr="00E15BAA" w:rsidRDefault="00B52373" w:rsidP="00B52373">
      <w:pPr>
        <w:pStyle w:val="CSElijst"/>
        <w:numPr>
          <w:ilvl w:val="0"/>
          <w:numId w:val="7"/>
        </w:numPr>
        <w:ind w:left="0" w:hanging="709"/>
        <w:rPr>
          <w:lang w:val="nl-NL"/>
        </w:rPr>
      </w:pPr>
      <w:r w:rsidRPr="00E15BAA">
        <w:rPr>
          <w:lang w:val="nl-NL"/>
        </w:rPr>
        <w:t>Leg uit of nu ook geldt dat de gekatalyseerde reactie ongeveer honderdmaal zo snel verloopt als de niet-gekatalyseerde reactie.</w:t>
      </w:r>
    </w:p>
    <w:bookmarkStart w:id="4" w:name="_Toc490751105"/>
    <w:p w:rsidR="00B52373" w:rsidRPr="00B67E3A" w:rsidRDefault="00B52373" w:rsidP="00B52373">
      <w:pPr>
        <w:pStyle w:val="Kop2"/>
      </w:pPr>
      <w:r w:rsidRPr="00B67E3A">
        <w:rPr>
          <w:noProof/>
        </w:rPr>
        <mc:AlternateContent>
          <mc:Choice Requires="wps">
            <w:drawing>
              <wp:anchor distT="0" distB="0" distL="0" distR="0" simplePos="0" relativeHeight="251664384" behindDoc="0" locked="0" layoutInCell="0" allowOverlap="1" wp14:anchorId="7A852709" wp14:editId="613778A2">
                <wp:simplePos x="0" y="0"/>
                <wp:positionH relativeFrom="margin">
                  <wp:posOffset>-234950</wp:posOffset>
                </wp:positionH>
                <wp:positionV relativeFrom="paragraph">
                  <wp:posOffset>341271</wp:posOffset>
                </wp:positionV>
                <wp:extent cx="6172835" cy="0"/>
                <wp:effectExtent l="0" t="19050" r="56515" b="38100"/>
                <wp:wrapSquare wrapText="bothSides"/>
                <wp:docPr id="2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68BBA" id="Line 2" o:spid="_x0000_s1026" style="position:absolute;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8.5pt,26.85pt" to="467.5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FK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" o:allowincell="f" strokecolor="silver" strokeweight="4.8pt">
                <w10:wrap type="square" anchorx="margin"/>
              </v:line>
            </w:pict>
          </mc:Fallback>
        </mc:AlternateContent>
      </w:r>
      <w:r w:rsidRPr="00B67E3A">
        <w:t>Suiker in verschillende gedaanten</w:t>
      </w:r>
      <w:r w:rsidRPr="00B67E3A">
        <w:tab/>
        <w:t>1984-II(IV)</w:t>
      </w:r>
      <w:bookmarkEnd w:id="4"/>
    </w:p>
    <w:p w:rsidR="00B52373" w:rsidRPr="00323624" w:rsidRDefault="00B52373" w:rsidP="00B52373">
      <w:r w:rsidRPr="00323624">
        <w:t xml:space="preserve">Als een </w:t>
      </w:r>
      <w:proofErr w:type="spellStart"/>
      <w:r w:rsidRPr="00323624">
        <w:t>alkanol</w:t>
      </w:r>
      <w:proofErr w:type="spellEnd"/>
      <w:r w:rsidRPr="00323624">
        <w:t xml:space="preserve"> en een </w:t>
      </w:r>
      <w:proofErr w:type="spellStart"/>
      <w:r w:rsidRPr="00323624">
        <w:t>alkanal</w:t>
      </w:r>
      <w:proofErr w:type="spellEnd"/>
      <w:r w:rsidRPr="00323624">
        <w:t xml:space="preserve"> in de </w:t>
      </w:r>
      <w:proofErr w:type="spellStart"/>
      <w:r w:rsidRPr="00323624">
        <w:t>molverhouding</w:t>
      </w:r>
      <w:proofErr w:type="spellEnd"/>
      <w:r w:rsidRPr="00323624">
        <w:t xml:space="preserve"> 1</w:t>
      </w:r>
      <w:r>
        <w:t> </w:t>
      </w:r>
      <w:r w:rsidRPr="00323624">
        <w:t>:</w:t>
      </w:r>
      <w:r>
        <w:t> </w:t>
      </w:r>
      <w:r w:rsidRPr="00323624">
        <w:t xml:space="preserve">1 reageren, ontstaat een </w:t>
      </w:r>
      <w:proofErr w:type="spellStart"/>
      <w:r w:rsidRPr="00323624">
        <w:t>alkoxyalkanol</w:t>
      </w:r>
      <w:proofErr w:type="spellEnd"/>
      <w:r w:rsidRPr="00323624">
        <w:t xml:space="preserve">. Zo ontstaat bijvoorbeeld 1-methoxy-l-ethanol uit methanol en </w:t>
      </w:r>
      <w:proofErr w:type="spellStart"/>
      <w:r w:rsidRPr="00323624">
        <w:t>ethanal</w:t>
      </w:r>
      <w:proofErr w:type="spellEnd"/>
      <w:r w:rsidRPr="00323624">
        <w:t>.</w:t>
      </w:r>
    </w:p>
    <w:p w:rsidR="00B52373" w:rsidRPr="00323624" w:rsidRDefault="00B52373" w:rsidP="00B52373">
      <w:r w:rsidRPr="00323624">
        <w:t>Het verkregen reactiemengsel is niet optisch actief.</w:t>
      </w:r>
    </w:p>
    <w:p w:rsidR="00B52373" w:rsidRPr="00E15BAA" w:rsidRDefault="00B52373" w:rsidP="00B52373">
      <w:pPr>
        <w:pStyle w:val="CSElijst"/>
        <w:numPr>
          <w:ilvl w:val="0"/>
          <w:numId w:val="7"/>
        </w:numPr>
        <w:ind w:left="0" w:hanging="709"/>
        <w:rPr>
          <w:lang w:val="nl-NL"/>
        </w:rPr>
      </w:pPr>
      <w:r w:rsidRPr="00E15BAA">
        <w:rPr>
          <w:lang w:val="nl-NL"/>
        </w:rPr>
        <w:t>Welke conclusie kan men hieruit trekken over de samenstelling van het verkregen reactiemengsel?</w:t>
      </w:r>
    </w:p>
    <w:p w:rsidR="00B52373" w:rsidRPr="00323624" w:rsidRDefault="00B52373" w:rsidP="00B52373">
      <w:r w:rsidRPr="00323624">
        <w:t xml:space="preserve">Op soortgelijke wijze reageert ethanol met propanal in de </w:t>
      </w:r>
      <w:proofErr w:type="spellStart"/>
      <w:r w:rsidRPr="00323624">
        <w:t>molverhouding</w:t>
      </w:r>
      <w:proofErr w:type="spellEnd"/>
      <w:r w:rsidRPr="00323624">
        <w:t xml:space="preserve"> 1</w:t>
      </w:r>
      <w:r>
        <w:t> </w:t>
      </w:r>
      <w:r w:rsidRPr="00323624">
        <w:t>:</w:t>
      </w:r>
      <w:r>
        <w:t> </w:t>
      </w:r>
      <w:r w:rsidRPr="00323624">
        <w:t>1.</w:t>
      </w:r>
    </w:p>
    <w:p w:rsidR="00B52373" w:rsidRPr="00E15BAA" w:rsidRDefault="00B52373" w:rsidP="00B52373">
      <w:pPr>
        <w:pStyle w:val="CSElijst"/>
        <w:numPr>
          <w:ilvl w:val="0"/>
          <w:numId w:val="7"/>
        </w:numPr>
        <w:ind w:left="0" w:hanging="709"/>
        <w:rPr>
          <w:lang w:val="nl-NL"/>
        </w:rPr>
      </w:pPr>
      <w:r w:rsidRPr="00E15BAA">
        <w:rPr>
          <w:lang w:val="nl-NL"/>
        </w:rPr>
        <w:t>Geef van deze reactie de vergelijking in structuurformules.</w:t>
      </w:r>
    </w:p>
    <w:p w:rsidR="00B52373" w:rsidRPr="00323624" w:rsidRDefault="00B52373" w:rsidP="00B52373">
      <w:r w:rsidRPr="00323624">
        <w:t xml:space="preserve">De groep </w:t>
      </w:r>
      <w:r w:rsidRPr="00B4757F">
        <w:rPr>
          <w:noProof/>
          <w:position w:val="-20"/>
        </w:rPr>
        <w:drawing>
          <wp:inline distT="0" distB="0" distL="0" distR="0" wp14:anchorId="281BBC24" wp14:editId="4B0D6A06">
            <wp:extent cx="759881" cy="390209"/>
            <wp:effectExtent l="0" t="0" r="2540" b="0"/>
            <wp:docPr id="84" name="Afbeelding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07233" cy="414525"/>
                    </a:xfrm>
                    <a:prstGeom prst="rect">
                      <a:avLst/>
                    </a:prstGeom>
                  </pic:spPr>
                </pic:pic>
              </a:graphicData>
            </a:graphic>
          </wp:inline>
        </w:drawing>
      </w:r>
      <w:r w:rsidRPr="00323624">
        <w:t xml:space="preserve"> , die kenmerkend is voor </w:t>
      </w:r>
      <w:proofErr w:type="spellStart"/>
      <w:r w:rsidRPr="00323624">
        <w:t>alkoxyalkanolen</w:t>
      </w:r>
      <w:proofErr w:type="spellEnd"/>
      <w:r w:rsidRPr="00323624">
        <w:t>, komt ook voor in een molecuul glucose. Glucose in vaste vorm bestaat uit ringvormige moleculen. Verondersteld wordt dat zo'n</w:t>
      </w:r>
      <w:r>
        <w:t xml:space="preserve"> </w:t>
      </w:r>
      <w:r w:rsidRPr="00323624">
        <w:t>ringvormig molecuul ontstaan is uit een molecuul met een open structuur (zie figuur 4.1).</w:t>
      </w:r>
    </w:p>
    <w:p w:rsidR="00B52373" w:rsidRPr="00323624" w:rsidRDefault="00B52373" w:rsidP="00B52373">
      <w:r w:rsidRPr="00323624">
        <w:t xml:space="preserve">Daarbij heeft dan de </w:t>
      </w:r>
      <w:r w:rsidRPr="006D3082">
        <w:rPr>
          <w:noProof/>
          <w:position w:val="-6"/>
        </w:rPr>
        <w:drawing>
          <wp:inline distT="0" distB="0" distL="0" distR="0" wp14:anchorId="5CA943D1" wp14:editId="649B8862">
            <wp:extent cx="277159" cy="296496"/>
            <wp:effectExtent l="0" t="0" r="8890" b="8890"/>
            <wp:docPr id="85"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8966" cy="309127"/>
                    </a:xfrm>
                    <a:prstGeom prst="rect">
                      <a:avLst/>
                    </a:prstGeom>
                  </pic:spPr>
                </pic:pic>
              </a:graphicData>
            </a:graphic>
          </wp:inline>
        </w:drawing>
      </w:r>
      <w:r w:rsidRPr="00323624">
        <w:t xml:space="preserve"> groep (koolstofatoom 1) gereageerd met de —OH groep aan koolstofatoom 5.</w:t>
      </w:r>
    </w:p>
    <w:p w:rsidR="00B52373" w:rsidRPr="002C5117" w:rsidRDefault="00B52373" w:rsidP="00B52373">
      <w:pPr>
        <w:tabs>
          <w:tab w:val="left" w:pos="3969"/>
        </w:tabs>
      </w:pPr>
      <w:r w:rsidRPr="00323624">
        <w:rPr>
          <w:noProof/>
        </w:rPr>
        <w:drawing>
          <wp:inline distT="0" distB="0" distL="0" distR="0" wp14:anchorId="3DCC012D" wp14:editId="5655F290">
            <wp:extent cx="1598955" cy="1080000"/>
            <wp:effectExtent l="0" t="0" r="1270" b="6350"/>
            <wp:docPr id="86"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98955" cy="1080000"/>
                    </a:xfrm>
                    <a:prstGeom prst="rect">
                      <a:avLst/>
                    </a:prstGeom>
                  </pic:spPr>
                </pic:pic>
              </a:graphicData>
            </a:graphic>
          </wp:inline>
        </w:drawing>
      </w:r>
      <w:r>
        <w:rPr>
          <w:noProof/>
        </w:rPr>
        <w:tab/>
      </w:r>
      <w:r w:rsidRPr="00323624">
        <w:rPr>
          <w:noProof/>
        </w:rPr>
        <w:drawing>
          <wp:inline distT="0" distB="0" distL="0" distR="0" wp14:anchorId="3A4768A3" wp14:editId="60860563">
            <wp:extent cx="1548948" cy="1080000"/>
            <wp:effectExtent l="0" t="0" r="0" b="6350"/>
            <wp:docPr id="87"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48948" cy="1080000"/>
                    </a:xfrm>
                    <a:prstGeom prst="rect">
                      <a:avLst/>
                    </a:prstGeom>
                  </pic:spPr>
                </pic:pic>
              </a:graphicData>
            </a:graphic>
          </wp:inline>
        </w:drawing>
      </w:r>
    </w:p>
    <w:p w:rsidR="00B52373" w:rsidRPr="00323624" w:rsidRDefault="00B52373" w:rsidP="00B52373">
      <w:pPr>
        <w:pStyle w:val="Bijschrift"/>
        <w:tabs>
          <w:tab w:val="left" w:pos="4111"/>
        </w:tabs>
      </w:pPr>
      <w:r w:rsidRPr="00323624">
        <w:t>open structuur van glucose</w:t>
      </w:r>
      <w:r w:rsidRPr="00323624">
        <w:tab/>
      </w:r>
      <w:r w:rsidRPr="00323624">
        <w:rPr>
          <w:rFonts w:ascii="Symbol" w:hAnsi="Symbol"/>
        </w:rPr>
        <w:t></w:t>
      </w:r>
      <w:r w:rsidRPr="00323624">
        <w:t>-glucose</w:t>
      </w:r>
    </w:p>
    <w:p w:rsidR="00B52373" w:rsidRPr="00323624" w:rsidRDefault="00B52373" w:rsidP="00B52373">
      <w:pPr>
        <w:pStyle w:val="Bijschrift"/>
        <w:tabs>
          <w:tab w:val="left" w:pos="4111"/>
        </w:tabs>
      </w:pPr>
      <w:r w:rsidRPr="00323624">
        <w:t>figuur 4.1</w:t>
      </w:r>
      <w:r w:rsidRPr="00323624">
        <w:tab/>
        <w:t>figuur 4.2</w:t>
      </w:r>
    </w:p>
    <w:p w:rsidR="00B52373" w:rsidRPr="00323624" w:rsidRDefault="00B52373" w:rsidP="00B52373">
      <w:r w:rsidRPr="00323624">
        <w:t xml:space="preserve">Er ontstaan bij deze ringsluiting twee stereo-isomeren, die men aanduidt met </w:t>
      </w:r>
      <w:r w:rsidRPr="00323624">
        <w:rPr>
          <w:rFonts w:ascii="Symbol" w:hAnsi="Symbol"/>
        </w:rPr>
        <w:t></w:t>
      </w:r>
      <w:r w:rsidRPr="00323624">
        <w:t xml:space="preserve">-glucose en (3-glucose. Figuur 4.2 stelt een model voor van een molecuul </w:t>
      </w:r>
      <w:r w:rsidRPr="00323624">
        <w:rPr>
          <w:rFonts w:ascii="Symbol" w:hAnsi="Symbol"/>
        </w:rPr>
        <w:t></w:t>
      </w:r>
      <w:r w:rsidRPr="00323624">
        <w:t xml:space="preserve">-glucose. In dit model wordt de </w:t>
      </w:r>
      <w:proofErr w:type="spellStart"/>
      <w:r w:rsidRPr="00323624">
        <w:t>zesring</w:t>
      </w:r>
      <w:proofErr w:type="spellEnd"/>
      <w:r w:rsidRPr="00323624">
        <w:t xml:space="preserve"> van vijf </w:t>
      </w:r>
      <w:r w:rsidRPr="00323624">
        <w:lastRenderedPageBreak/>
        <w:t>koolstofatomen en een zuurstofatoom voorgesteld in een plat vlak met alle andere atomen boven of onder dit vlak.</w:t>
      </w:r>
    </w:p>
    <w:p w:rsidR="00B52373" w:rsidRPr="00323624" w:rsidRDefault="00B52373" w:rsidP="00B52373">
      <w:r w:rsidRPr="00323624">
        <w:t xml:space="preserve">Een molecuul </w:t>
      </w:r>
      <w:r w:rsidRPr="00323624">
        <w:rPr>
          <w:rFonts w:ascii="Symbol" w:hAnsi="Symbol"/>
        </w:rPr>
        <w:t></w:t>
      </w:r>
      <w:r w:rsidRPr="00323624">
        <w:t xml:space="preserve">-glucose verschilt slechts van een molecuul </w:t>
      </w:r>
      <w:r w:rsidRPr="00323624">
        <w:rPr>
          <w:rFonts w:ascii="Symbol" w:hAnsi="Symbol"/>
        </w:rPr>
        <w:t></w:t>
      </w:r>
      <w:r w:rsidRPr="00323624">
        <w:t>-glucose in de oriëntatie van de groepen aan koolstofatoom 1.</w:t>
      </w:r>
    </w:p>
    <w:p w:rsidR="00B52373" w:rsidRPr="00E15BAA" w:rsidRDefault="00B52373" w:rsidP="00B52373">
      <w:pPr>
        <w:pStyle w:val="CSElijst"/>
        <w:numPr>
          <w:ilvl w:val="0"/>
          <w:numId w:val="7"/>
        </w:numPr>
        <w:ind w:left="0" w:hanging="709"/>
        <w:rPr>
          <w:lang w:val="nl-NL"/>
        </w:rPr>
      </w:pPr>
      <w:r w:rsidRPr="00E15BAA">
        <w:rPr>
          <w:lang w:val="nl-NL"/>
        </w:rPr>
        <w:t xml:space="preserve">Leg aan de hand van figuur 4.2 uit of een molecuul </w:t>
      </w:r>
      <w:r w:rsidRPr="00323624">
        <w:rPr>
          <w:rFonts w:ascii="Symbol" w:hAnsi="Symbol"/>
        </w:rPr>
        <w:t></w:t>
      </w:r>
      <w:r w:rsidRPr="00E15BAA">
        <w:rPr>
          <w:lang w:val="nl-NL"/>
        </w:rPr>
        <w:t xml:space="preserve">-glucose en een molecuul </w:t>
      </w:r>
      <w:r w:rsidRPr="00323624">
        <w:rPr>
          <w:rFonts w:ascii="Symbol" w:hAnsi="Symbol"/>
        </w:rPr>
        <w:t></w:t>
      </w:r>
      <w:r w:rsidRPr="00E15BAA">
        <w:rPr>
          <w:lang w:val="nl-NL"/>
        </w:rPr>
        <w:t>-glucose elkaars spiegelbeeld zijn.</w:t>
      </w:r>
    </w:p>
    <w:p w:rsidR="00B52373" w:rsidRPr="00323624" w:rsidRDefault="00B52373" w:rsidP="00B52373">
      <w:r w:rsidRPr="00323624">
        <w:t xml:space="preserve">De draaiingshoek van het vlak van gepolariseerd licht bedraagt voor een 1,0 molair oplossing van </w:t>
      </w:r>
      <w:r w:rsidRPr="00323624">
        <w:rPr>
          <w:rFonts w:ascii="Symbol" w:hAnsi="Symbol"/>
        </w:rPr>
        <w:t></w:t>
      </w:r>
      <w:r w:rsidRPr="00323624">
        <w:t xml:space="preserve">-glucose onder gestandaardiseerde omstandigheden +20,2°, voor een 1,0 molair oplossing van </w:t>
      </w:r>
      <w:r w:rsidRPr="00323624">
        <w:rPr>
          <w:rFonts w:ascii="Symbol" w:hAnsi="Symbol"/>
        </w:rPr>
        <w:t></w:t>
      </w:r>
      <w:r w:rsidRPr="00323624">
        <w:t xml:space="preserve">-glucose +3,4°. In deze opgave worden de waarden 20,2° en 3,4° de molaire optische draaiing van </w:t>
      </w:r>
      <w:r w:rsidRPr="00323624">
        <w:rPr>
          <w:rFonts w:ascii="Symbol" w:hAnsi="Symbol"/>
        </w:rPr>
        <w:t></w:t>
      </w:r>
      <w:r w:rsidRPr="00323624">
        <w:t xml:space="preserve">-glucose, respectievelijk </w:t>
      </w:r>
      <w:r w:rsidRPr="00323624">
        <w:rPr>
          <w:rFonts w:ascii="Symbol" w:hAnsi="Symbol"/>
        </w:rPr>
        <w:t></w:t>
      </w:r>
      <w:r w:rsidRPr="00323624">
        <w:t>-glucose, genoemd.</w:t>
      </w:r>
    </w:p>
    <w:p w:rsidR="00B52373" w:rsidRPr="00323624" w:rsidRDefault="00B52373" w:rsidP="00B52373">
      <w:r w:rsidRPr="00323624">
        <w:t xml:space="preserve">J. H. van 't Hoff veronderstelde dat de totale optische draaiing van een stof de som is van de bijdragen, toegeschreven aan elk van de asymmetrische koolstofatomen. Als bijvoorbeeld voor </w:t>
      </w:r>
      <w:r w:rsidRPr="00323624">
        <w:rPr>
          <w:rFonts w:ascii="Symbol" w:hAnsi="Symbol"/>
        </w:rPr>
        <w:t></w:t>
      </w:r>
      <w:r w:rsidRPr="00323624">
        <w:t xml:space="preserve">-glucose de bijdragen aan de molaire optische draaiing van de koolstofatomen 1, 2, 3, 4 en 5 gesteld worden op respectievelijk </w:t>
      </w:r>
      <w:r w:rsidRPr="00323624">
        <w:rPr>
          <w:i/>
        </w:rPr>
        <w:t>a</w:t>
      </w:r>
      <w:r w:rsidRPr="00323624">
        <w:t xml:space="preserve">, </w:t>
      </w:r>
      <w:r w:rsidRPr="00323624">
        <w:rPr>
          <w:i/>
        </w:rPr>
        <w:t>b</w:t>
      </w:r>
      <w:r w:rsidRPr="00323624">
        <w:t xml:space="preserve">, </w:t>
      </w:r>
      <w:r w:rsidRPr="00323624">
        <w:rPr>
          <w:i/>
        </w:rPr>
        <w:t>c</w:t>
      </w:r>
      <w:r w:rsidRPr="00323624">
        <w:t xml:space="preserve">, </w:t>
      </w:r>
      <w:r w:rsidRPr="00323624">
        <w:rPr>
          <w:i/>
        </w:rPr>
        <w:t>d</w:t>
      </w:r>
      <w:r w:rsidRPr="00323624">
        <w:t xml:space="preserve"> en </w:t>
      </w:r>
      <w:r w:rsidRPr="00323624">
        <w:rPr>
          <w:i/>
        </w:rPr>
        <w:t>e</w:t>
      </w:r>
      <w:r w:rsidRPr="00323624">
        <w:t xml:space="preserve">, dan is dus de molaire optische draaiing van </w:t>
      </w:r>
      <w:r w:rsidRPr="00323624">
        <w:rPr>
          <w:rFonts w:ascii="Symbol" w:hAnsi="Symbol"/>
        </w:rPr>
        <w:t></w:t>
      </w:r>
      <w:r w:rsidRPr="00323624">
        <w:t xml:space="preserve">-glucose </w:t>
      </w:r>
      <w:r w:rsidRPr="00323624">
        <w:rPr>
          <w:i/>
        </w:rPr>
        <w:t>a</w:t>
      </w:r>
      <w:r w:rsidRPr="00323624">
        <w:t xml:space="preserve"> + </w:t>
      </w:r>
      <w:r w:rsidRPr="00323624">
        <w:rPr>
          <w:i/>
        </w:rPr>
        <w:t>b</w:t>
      </w:r>
      <w:r w:rsidRPr="00323624">
        <w:t xml:space="preserve"> + </w:t>
      </w:r>
      <w:r w:rsidRPr="00323624">
        <w:rPr>
          <w:i/>
        </w:rPr>
        <w:t>c</w:t>
      </w:r>
      <w:r w:rsidRPr="00323624">
        <w:t xml:space="preserve"> + </w:t>
      </w:r>
      <w:r w:rsidRPr="00323624">
        <w:rPr>
          <w:i/>
        </w:rPr>
        <w:t>d</w:t>
      </w:r>
      <w:r w:rsidRPr="00323624">
        <w:t xml:space="preserve"> + </w:t>
      </w:r>
      <w:r w:rsidRPr="00323624">
        <w:rPr>
          <w:i/>
        </w:rPr>
        <w:t>e</w:t>
      </w:r>
      <w:r w:rsidRPr="00323624">
        <w:t xml:space="preserve">. De structuur van de moleculen van </w:t>
      </w:r>
      <w:r w:rsidRPr="00323624">
        <w:rPr>
          <w:rFonts w:ascii="Symbol" w:hAnsi="Symbol"/>
        </w:rPr>
        <w:t></w:t>
      </w:r>
      <w:r w:rsidRPr="00323624">
        <w:t xml:space="preserve">-glucose en </w:t>
      </w:r>
      <w:r w:rsidRPr="00323624">
        <w:rPr>
          <w:rFonts w:ascii="Symbol" w:hAnsi="Symbol"/>
        </w:rPr>
        <w:t></w:t>
      </w:r>
      <w:r w:rsidRPr="00323624">
        <w:t xml:space="preserve">-glucose verschilt slechts in de oriëntatie van de groepen aan koolstofatoom 1. De molaire optische draaiing van </w:t>
      </w:r>
      <w:r w:rsidRPr="00323624">
        <w:rPr>
          <w:rFonts w:ascii="Symbol" w:hAnsi="Symbol"/>
        </w:rPr>
        <w:t></w:t>
      </w:r>
      <w:r w:rsidRPr="00323624">
        <w:t xml:space="preserve">-glucose is dan </w:t>
      </w:r>
      <w:r w:rsidRPr="00323624">
        <w:sym w:font="Symbol" w:char="F02D"/>
      </w:r>
      <w:r w:rsidRPr="00323624">
        <w:rPr>
          <w:i/>
        </w:rPr>
        <w:t>a</w:t>
      </w:r>
      <w:r w:rsidRPr="00323624">
        <w:t xml:space="preserve"> + </w:t>
      </w:r>
      <w:r w:rsidRPr="00323624">
        <w:rPr>
          <w:i/>
        </w:rPr>
        <w:t>b</w:t>
      </w:r>
      <w:r w:rsidRPr="00323624">
        <w:t xml:space="preserve"> + </w:t>
      </w:r>
      <w:r w:rsidRPr="00323624">
        <w:rPr>
          <w:i/>
        </w:rPr>
        <w:t>c</w:t>
      </w:r>
      <w:r w:rsidRPr="00323624">
        <w:t xml:space="preserve"> + </w:t>
      </w:r>
      <w:r w:rsidRPr="00323624">
        <w:rPr>
          <w:i/>
        </w:rPr>
        <w:t>d</w:t>
      </w:r>
      <w:r w:rsidRPr="00323624">
        <w:t xml:space="preserve"> + </w:t>
      </w:r>
      <w:r w:rsidRPr="00323624">
        <w:rPr>
          <w:i/>
        </w:rPr>
        <w:t>e</w:t>
      </w:r>
      <w:r w:rsidRPr="00323624">
        <w:t xml:space="preserve">. Het verschil tussen de molaire optische draaiing van </w:t>
      </w:r>
      <w:r w:rsidRPr="00323624">
        <w:rPr>
          <w:rFonts w:ascii="Symbol" w:hAnsi="Symbol"/>
        </w:rPr>
        <w:t></w:t>
      </w:r>
      <w:r w:rsidRPr="00323624">
        <w:t xml:space="preserve">-glucose en die van </w:t>
      </w:r>
      <w:r w:rsidRPr="00323624">
        <w:rPr>
          <w:rFonts w:ascii="Symbol" w:hAnsi="Symbol"/>
        </w:rPr>
        <w:t></w:t>
      </w:r>
      <w:r w:rsidRPr="00323624">
        <w:t>-glucose is derhalve 2</w:t>
      </w:r>
      <w:r w:rsidRPr="00323624">
        <w:rPr>
          <w:i/>
        </w:rPr>
        <w:t>a</w:t>
      </w:r>
      <w:r w:rsidRPr="00323624">
        <w:t xml:space="preserve">. Uit tabel 1 volgt zo dat de bijdrage van koolstofatoom 1 aan de molaire optische draaiing van </w:t>
      </w:r>
      <w:r w:rsidRPr="00323624">
        <w:rPr>
          <w:rFonts w:ascii="Symbol" w:hAnsi="Symbol"/>
        </w:rPr>
        <w:t></w:t>
      </w:r>
      <w:r w:rsidRPr="00323624">
        <w:t>-glucose ongeveer +8,4° bedraagt.</w:t>
      </w:r>
    </w:p>
    <w:p w:rsidR="00B52373" w:rsidRPr="00323624" w:rsidRDefault="00B52373" w:rsidP="00B52373"/>
    <w:tbl>
      <w:tblPr>
        <w:tblW w:w="0" w:type="auto"/>
        <w:tblInd w:w="135" w:type="dxa"/>
        <w:tblCellMar>
          <w:left w:w="0" w:type="dxa"/>
          <w:right w:w="0" w:type="dxa"/>
        </w:tblCellMar>
        <w:tblLook w:val="0000" w:firstRow="0" w:lastRow="0" w:firstColumn="0" w:lastColumn="0" w:noHBand="0" w:noVBand="0"/>
      </w:tblPr>
      <w:tblGrid>
        <w:gridCol w:w="989"/>
        <w:gridCol w:w="829"/>
        <w:gridCol w:w="811"/>
        <w:gridCol w:w="1799"/>
      </w:tblGrid>
      <w:tr w:rsidR="00B52373" w:rsidRPr="00323624" w:rsidTr="00502442">
        <w:tc>
          <w:tcPr>
            <w:tcW w:w="0" w:type="auto"/>
            <w:tcBorders>
              <w:top w:val="nil"/>
              <w:left w:val="nil"/>
              <w:bottom w:val="single" w:sz="4" w:space="0" w:color="auto"/>
              <w:right w:val="single" w:sz="4" w:space="0" w:color="auto"/>
            </w:tcBorders>
            <w:tcMar>
              <w:left w:w="85" w:type="dxa"/>
              <w:right w:w="85" w:type="dxa"/>
            </w:tcMar>
          </w:tcPr>
          <w:p w:rsidR="00B52373" w:rsidRPr="009A5A34" w:rsidRDefault="00B52373" w:rsidP="00502442">
            <w:pPr>
              <w:rPr>
                <w:b/>
              </w:rPr>
            </w:pPr>
            <w:r w:rsidRPr="009A5A34">
              <w:rPr>
                <w:b/>
              </w:rPr>
              <w:t>tabel 1</w:t>
            </w:r>
          </w:p>
        </w:tc>
        <w:tc>
          <w:tcPr>
            <w:tcW w:w="0" w:type="auto"/>
            <w:gridSpan w:val="3"/>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B52373" w:rsidRPr="00323624" w:rsidRDefault="00B52373" w:rsidP="00502442">
            <w:r w:rsidRPr="00323624">
              <w:t>molaire optische draaiing</w:t>
            </w:r>
          </w:p>
        </w:tc>
      </w:tr>
      <w:tr w:rsidR="00B52373" w:rsidRPr="00323624" w:rsidTr="00502442">
        <w:tc>
          <w:tcPr>
            <w:tcW w:w="0" w:type="auto"/>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B52373" w:rsidRPr="00323624" w:rsidRDefault="00B52373" w:rsidP="00502442">
            <w:r w:rsidRPr="00323624">
              <w:t>stof</w:t>
            </w:r>
          </w:p>
        </w:tc>
        <w:tc>
          <w:tcPr>
            <w:tcW w:w="0" w:type="auto"/>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B52373" w:rsidRPr="00323624" w:rsidRDefault="00B52373" w:rsidP="00502442">
            <w:r w:rsidRPr="00323624">
              <w:rPr>
                <w:rFonts w:ascii="Symbol" w:hAnsi="Symbol"/>
              </w:rPr>
              <w:t></w:t>
            </w:r>
            <w:r w:rsidRPr="00323624">
              <w:t xml:space="preserve"> vorm</w:t>
            </w:r>
          </w:p>
        </w:tc>
        <w:tc>
          <w:tcPr>
            <w:tcW w:w="0" w:type="auto"/>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B52373" w:rsidRPr="00323624" w:rsidRDefault="00B52373" w:rsidP="00502442">
            <w:r w:rsidRPr="00323624">
              <w:rPr>
                <w:rFonts w:ascii="Symbol" w:hAnsi="Symbol"/>
              </w:rPr>
              <w:t></w:t>
            </w:r>
            <w:r w:rsidRPr="00323624">
              <w:t xml:space="preserve"> vorm</w:t>
            </w:r>
          </w:p>
        </w:tc>
        <w:tc>
          <w:tcPr>
            <w:tcW w:w="0" w:type="auto"/>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B52373" w:rsidRPr="00323624" w:rsidRDefault="00B52373" w:rsidP="00502442">
            <w:r w:rsidRPr="00323624">
              <w:rPr>
                <w:rFonts w:ascii="Symbol" w:hAnsi="Symbol"/>
              </w:rPr>
              <w:t></w:t>
            </w:r>
            <w:r w:rsidRPr="00323624">
              <w:t xml:space="preserve"> vorm — </w:t>
            </w:r>
            <w:r w:rsidRPr="00323624">
              <w:rPr>
                <w:rFonts w:ascii="Symbol" w:hAnsi="Symbol"/>
              </w:rPr>
              <w:t></w:t>
            </w:r>
            <w:r w:rsidRPr="00323624">
              <w:t xml:space="preserve"> vorm</w:t>
            </w:r>
          </w:p>
        </w:tc>
      </w:tr>
      <w:tr w:rsidR="00B52373" w:rsidRPr="00323624" w:rsidTr="00502442">
        <w:tc>
          <w:tcPr>
            <w:tcW w:w="0" w:type="auto"/>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B52373" w:rsidRPr="00323624" w:rsidRDefault="00B52373" w:rsidP="00502442">
            <w:r w:rsidRPr="00323624">
              <w:t>glucose</w:t>
            </w:r>
            <w:r w:rsidRPr="00323624">
              <w:br/>
              <w:t>galactose</w:t>
            </w:r>
          </w:p>
        </w:tc>
        <w:tc>
          <w:tcPr>
            <w:tcW w:w="0" w:type="auto"/>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B52373" w:rsidRPr="00323624" w:rsidRDefault="00B52373" w:rsidP="00502442">
            <w:r w:rsidRPr="00323624">
              <w:t>+ 20,2°</w:t>
            </w:r>
          </w:p>
          <w:p w:rsidR="00B52373" w:rsidRPr="00323624" w:rsidRDefault="00B52373" w:rsidP="00502442">
            <w:r w:rsidRPr="00323624">
              <w:t>+ 26,1°</w:t>
            </w:r>
          </w:p>
        </w:tc>
        <w:tc>
          <w:tcPr>
            <w:tcW w:w="0" w:type="auto"/>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B52373" w:rsidRPr="00323624" w:rsidRDefault="00B52373" w:rsidP="00502442">
            <w:r w:rsidRPr="00323624">
              <w:t>+ 3,4°</w:t>
            </w:r>
          </w:p>
          <w:p w:rsidR="00B52373" w:rsidRPr="00323624" w:rsidRDefault="00B52373" w:rsidP="00502442">
            <w:r w:rsidRPr="00323624">
              <w:t>+ 9,5°</w:t>
            </w:r>
          </w:p>
        </w:tc>
        <w:tc>
          <w:tcPr>
            <w:tcW w:w="0" w:type="auto"/>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B52373" w:rsidRPr="00323624" w:rsidRDefault="00B52373" w:rsidP="00502442">
            <w:r w:rsidRPr="00323624">
              <w:t>+ 16,8°</w:t>
            </w:r>
          </w:p>
          <w:p w:rsidR="00B52373" w:rsidRPr="00323624" w:rsidRDefault="00B52373" w:rsidP="00502442">
            <w:r w:rsidRPr="00323624">
              <w:t>+ 16,6°</w:t>
            </w:r>
          </w:p>
        </w:tc>
      </w:tr>
    </w:tbl>
    <w:p w:rsidR="00B52373" w:rsidRPr="00323624" w:rsidRDefault="00B52373" w:rsidP="00B52373">
      <w:pPr>
        <w:pStyle w:val="Interlinie"/>
      </w:pPr>
      <w:r w:rsidRPr="00323624">
        <w:t xml:space="preserve">Figuur 4.3 stelt een model voor van een molecuul </w:t>
      </w:r>
      <w:r w:rsidRPr="00323624">
        <w:rPr>
          <w:rFonts w:ascii="Symbol" w:hAnsi="Symbol"/>
        </w:rPr>
        <w:t></w:t>
      </w:r>
      <w:r w:rsidRPr="00323624">
        <w:t xml:space="preserve">-galactose. Ter vergelijking is daarnaast nog eens het model van een molecuul </w:t>
      </w:r>
      <w:r w:rsidRPr="00323624">
        <w:rPr>
          <w:rFonts w:ascii="Symbol" w:hAnsi="Symbol"/>
        </w:rPr>
        <w:t></w:t>
      </w:r>
      <w:r w:rsidRPr="00323624">
        <w:t>-glucose (figuur 4.2) afgedrukt.</w:t>
      </w:r>
    </w:p>
    <w:p w:rsidR="00B52373" w:rsidRPr="00214D57" w:rsidRDefault="00B52373" w:rsidP="00B52373">
      <w:pPr>
        <w:tabs>
          <w:tab w:val="left" w:pos="4253"/>
        </w:tabs>
      </w:pPr>
      <w:r w:rsidRPr="00323624">
        <w:rPr>
          <w:noProof/>
        </w:rPr>
        <w:drawing>
          <wp:inline distT="0" distB="0" distL="0" distR="0" wp14:anchorId="10898E72" wp14:editId="082A58F9">
            <wp:extent cx="1503526" cy="1080000"/>
            <wp:effectExtent l="0" t="0" r="1905" b="6350"/>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03526" cy="1080000"/>
                    </a:xfrm>
                    <a:prstGeom prst="rect">
                      <a:avLst/>
                    </a:prstGeom>
                  </pic:spPr>
                </pic:pic>
              </a:graphicData>
            </a:graphic>
          </wp:inline>
        </w:drawing>
      </w:r>
      <w:r w:rsidRPr="00214D57">
        <w:rPr>
          <w:noProof/>
        </w:rPr>
        <w:t xml:space="preserve"> </w:t>
      </w:r>
      <w:r w:rsidRPr="00214D57">
        <w:rPr>
          <w:noProof/>
        </w:rPr>
        <w:tab/>
      </w:r>
      <w:r w:rsidRPr="00323624">
        <w:rPr>
          <w:noProof/>
        </w:rPr>
        <w:drawing>
          <wp:inline distT="0" distB="0" distL="0" distR="0" wp14:anchorId="5BA40CB7" wp14:editId="3F88B487">
            <wp:extent cx="1524705" cy="1080000"/>
            <wp:effectExtent l="0" t="0" r="0" b="6350"/>
            <wp:docPr id="89"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24705" cy="1080000"/>
                    </a:xfrm>
                    <a:prstGeom prst="rect">
                      <a:avLst/>
                    </a:prstGeom>
                  </pic:spPr>
                </pic:pic>
              </a:graphicData>
            </a:graphic>
          </wp:inline>
        </w:drawing>
      </w:r>
    </w:p>
    <w:p w:rsidR="00B52373" w:rsidRPr="00214D57" w:rsidRDefault="00B52373" w:rsidP="00B52373">
      <w:pPr>
        <w:pStyle w:val="Bijschrift"/>
        <w:tabs>
          <w:tab w:val="left" w:pos="4395"/>
        </w:tabs>
      </w:pPr>
      <w:r>
        <w:rPr>
          <w:rFonts w:ascii="Symbol" w:hAnsi="Symbol"/>
          <w:lang w:val="it-IT"/>
        </w:rPr>
        <w:t></w:t>
      </w:r>
      <w:r w:rsidRPr="00214D57">
        <w:t>-galactose</w:t>
      </w:r>
      <w:r w:rsidRPr="00214D57">
        <w:tab/>
      </w:r>
      <w:r>
        <w:rPr>
          <w:rFonts w:ascii="Symbol" w:hAnsi="Symbol"/>
          <w:lang w:val="it-IT"/>
        </w:rPr>
        <w:t></w:t>
      </w:r>
      <w:r w:rsidRPr="00214D57">
        <w:t>-glucose</w:t>
      </w:r>
    </w:p>
    <w:p w:rsidR="00B52373" w:rsidRPr="007A0C4E" w:rsidRDefault="00B52373" w:rsidP="00B52373">
      <w:pPr>
        <w:pStyle w:val="Bijschrift"/>
        <w:tabs>
          <w:tab w:val="left" w:pos="4395"/>
        </w:tabs>
      </w:pPr>
      <w:r w:rsidRPr="007A0C4E">
        <w:t>figuur 4.3</w:t>
      </w:r>
      <w:r w:rsidRPr="00214D57">
        <w:tab/>
      </w:r>
      <w:r w:rsidRPr="007A0C4E">
        <w:t>figuur 4.2</w:t>
      </w:r>
    </w:p>
    <w:p w:rsidR="00B52373" w:rsidRPr="00323624" w:rsidRDefault="00B52373" w:rsidP="00B52373">
      <w:r w:rsidRPr="00323624">
        <w:t>Uit de gegevens van tabel 1 over glucose en galactose kan van lig een koolstofatoom van glucose de bijdrage aan de molaire optische draaiing worden berekend.</w:t>
      </w:r>
    </w:p>
    <w:p w:rsidR="00B52373" w:rsidRPr="00E15BAA" w:rsidRDefault="00B52373" w:rsidP="00B52373">
      <w:pPr>
        <w:pStyle w:val="CSElijst"/>
        <w:numPr>
          <w:ilvl w:val="0"/>
          <w:numId w:val="7"/>
        </w:numPr>
        <w:ind w:left="0" w:hanging="709"/>
        <w:rPr>
          <w:lang w:val="nl-NL"/>
        </w:rPr>
      </w:pPr>
      <w:r w:rsidRPr="00E15BAA">
        <w:rPr>
          <w:lang w:val="nl-NL"/>
        </w:rPr>
        <w:t>1. Om welk koolstofatoom gaat dit?</w:t>
      </w:r>
      <w:r w:rsidRPr="00E15BAA">
        <w:rPr>
          <w:lang w:val="nl-NL"/>
        </w:rPr>
        <w:br/>
        <w:t>2. Bereken de bijdrage van dit koolstofatoom aan de molaire optische draaiing van glucose.</w:t>
      </w:r>
    </w:p>
    <w:p w:rsidR="00B52373" w:rsidRPr="00323624" w:rsidRDefault="00B52373" w:rsidP="00B52373">
      <w:r w:rsidRPr="00323624">
        <w:t xml:space="preserve">Figuur 4.4 stelt een model voor van een molecuul 1-(1-propoxy)glucose in de </w:t>
      </w:r>
      <w:r>
        <w:rPr>
          <w:rFonts w:ascii="Symbol" w:hAnsi="Symbol"/>
        </w:rPr>
        <w:t></w:t>
      </w:r>
      <w:r w:rsidRPr="00323624">
        <w:t xml:space="preserve"> vorm.</w:t>
      </w:r>
    </w:p>
    <w:p w:rsidR="00B52373" w:rsidRPr="00323624" w:rsidRDefault="00B52373" w:rsidP="00B52373">
      <w:pPr>
        <w:jc w:val="center"/>
        <w:rPr>
          <w:lang w:val="en-US"/>
        </w:rPr>
      </w:pPr>
      <w:r w:rsidRPr="00323624">
        <w:rPr>
          <w:noProof/>
        </w:rPr>
        <w:drawing>
          <wp:inline distT="0" distB="0" distL="0" distR="0" wp14:anchorId="7A827608" wp14:editId="79F70CAF">
            <wp:extent cx="1467926" cy="897066"/>
            <wp:effectExtent l="0" t="0" r="0" b="0"/>
            <wp:docPr id="90"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77687" cy="903031"/>
                    </a:xfrm>
                    <a:prstGeom prst="rect">
                      <a:avLst/>
                    </a:prstGeom>
                  </pic:spPr>
                </pic:pic>
              </a:graphicData>
            </a:graphic>
          </wp:inline>
        </w:drawing>
      </w:r>
    </w:p>
    <w:p w:rsidR="00B52373" w:rsidRPr="00323624" w:rsidRDefault="00B52373" w:rsidP="00B52373">
      <w:pPr>
        <w:pStyle w:val="Bijschrift"/>
        <w:jc w:val="center"/>
      </w:pPr>
      <w:r w:rsidRPr="00323624">
        <w:rPr>
          <w:rFonts w:ascii="Symbol" w:hAnsi="Symbol"/>
        </w:rPr>
        <w:t></w:t>
      </w:r>
      <w:r w:rsidRPr="00323624">
        <w:t>-1-(1-propoxy)glucose</w:t>
      </w:r>
      <w:r w:rsidRPr="00323624">
        <w:br/>
        <w:t>figuur 4.4</w:t>
      </w:r>
    </w:p>
    <w:p w:rsidR="00B52373" w:rsidRPr="00323624" w:rsidRDefault="00B52373" w:rsidP="00B52373">
      <w:r w:rsidRPr="00323624">
        <w:t xml:space="preserve">Van 1-(1-propoxy)glucose bestaat ook een </w:t>
      </w:r>
      <w:r w:rsidRPr="00323624">
        <w:rPr>
          <w:rFonts w:ascii="Symbol" w:hAnsi="Symbol"/>
        </w:rPr>
        <w:t></w:t>
      </w:r>
      <w:r w:rsidRPr="00323624">
        <w:t xml:space="preserve"> vorm.</w:t>
      </w:r>
    </w:p>
    <w:p w:rsidR="007A0C4E" w:rsidRDefault="007A0C4E">
      <w:r>
        <w:br w:type="page"/>
      </w:r>
    </w:p>
    <w:p w:rsidR="00B52373" w:rsidRPr="00323624" w:rsidRDefault="00B52373" w:rsidP="00B52373">
      <w:r w:rsidRPr="00323624">
        <w:lastRenderedPageBreak/>
        <w:t xml:space="preserve">C.S. Hudson vergeleek de molaire optische draaiing van 1-(1-propoxy)glucose met die van glucose. Voor het verschil tussen de molaire optische draaiing van de </w:t>
      </w:r>
      <w:r w:rsidRPr="00323624">
        <w:rPr>
          <w:rFonts w:ascii="Symbol" w:hAnsi="Symbol"/>
        </w:rPr>
        <w:t></w:t>
      </w:r>
      <w:r w:rsidRPr="00323624">
        <w:t xml:space="preserve"> vorm en die van de </w:t>
      </w:r>
      <w:r w:rsidRPr="00323624">
        <w:rPr>
          <w:rFonts w:ascii="Symbol" w:hAnsi="Symbol"/>
        </w:rPr>
        <w:t></w:t>
      </w:r>
      <w:r w:rsidRPr="00323624">
        <w:t xml:space="preserve"> vorm van </w:t>
      </w:r>
      <w:r>
        <w:br/>
      </w:r>
      <w:r w:rsidRPr="00323624">
        <w:t>1-(1-propoxy)glucose vond hij een duidelijk andere waarde als voor dat verschil bij glucose. Voor de som vond hij echter in beide gevallen vrijwel dezelfde waarde (zie tabel 2).</w:t>
      </w:r>
    </w:p>
    <w:tbl>
      <w:tblPr>
        <w:tblW w:w="0" w:type="auto"/>
        <w:tblInd w:w="115" w:type="dxa"/>
        <w:tblCellMar>
          <w:left w:w="0" w:type="dxa"/>
          <w:right w:w="0" w:type="dxa"/>
        </w:tblCellMar>
        <w:tblLook w:val="0000" w:firstRow="0" w:lastRow="0" w:firstColumn="0" w:lastColumn="0" w:noHBand="0" w:noVBand="0"/>
      </w:tblPr>
      <w:tblGrid>
        <w:gridCol w:w="2089"/>
        <w:gridCol w:w="829"/>
        <w:gridCol w:w="811"/>
        <w:gridCol w:w="1799"/>
        <w:gridCol w:w="1703"/>
      </w:tblGrid>
      <w:tr w:rsidR="00B52373" w:rsidRPr="00323624" w:rsidTr="00502442">
        <w:tc>
          <w:tcPr>
            <w:tcW w:w="0" w:type="auto"/>
            <w:tcBorders>
              <w:top w:val="nil"/>
              <w:left w:val="nil"/>
              <w:bottom w:val="single" w:sz="4" w:space="0" w:color="auto"/>
              <w:right w:val="single" w:sz="4" w:space="0" w:color="auto"/>
            </w:tcBorders>
            <w:tcMar>
              <w:left w:w="85" w:type="dxa"/>
              <w:right w:w="85" w:type="dxa"/>
            </w:tcMar>
          </w:tcPr>
          <w:p w:rsidR="00B52373" w:rsidRPr="000F7D00" w:rsidRDefault="00B52373" w:rsidP="00502442">
            <w:pPr>
              <w:rPr>
                <w:b/>
              </w:rPr>
            </w:pPr>
            <w:r w:rsidRPr="000F7D00">
              <w:rPr>
                <w:b/>
              </w:rPr>
              <w:t>tabel 2</w:t>
            </w:r>
          </w:p>
        </w:tc>
        <w:tc>
          <w:tcPr>
            <w:tcW w:w="0" w:type="auto"/>
            <w:gridSpan w:val="4"/>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B52373" w:rsidRPr="00323624" w:rsidRDefault="00B52373" w:rsidP="00502442">
            <w:r w:rsidRPr="00323624">
              <w:t>molaire optische draaiing</w:t>
            </w:r>
          </w:p>
        </w:tc>
      </w:tr>
      <w:tr w:rsidR="00B52373" w:rsidRPr="00323624" w:rsidTr="00502442">
        <w:tc>
          <w:tcPr>
            <w:tcW w:w="0" w:type="auto"/>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B52373" w:rsidRPr="00323624" w:rsidRDefault="00B52373" w:rsidP="00502442">
            <w:r w:rsidRPr="00323624">
              <w:t>stof</w:t>
            </w:r>
          </w:p>
        </w:tc>
        <w:tc>
          <w:tcPr>
            <w:tcW w:w="0" w:type="auto"/>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B52373" w:rsidRPr="00323624" w:rsidRDefault="00B52373" w:rsidP="00502442">
            <w:r w:rsidRPr="00323624">
              <w:rPr>
                <w:rFonts w:ascii="Symbol" w:hAnsi="Symbol"/>
              </w:rPr>
              <w:t></w:t>
            </w:r>
            <w:r w:rsidRPr="00323624">
              <w:t xml:space="preserve"> vorm</w:t>
            </w:r>
          </w:p>
        </w:tc>
        <w:tc>
          <w:tcPr>
            <w:tcW w:w="0" w:type="auto"/>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B52373" w:rsidRPr="00323624" w:rsidRDefault="00B52373" w:rsidP="00502442">
            <w:r w:rsidRPr="00323624">
              <w:rPr>
                <w:rFonts w:ascii="Symbol" w:hAnsi="Symbol"/>
              </w:rPr>
              <w:t></w:t>
            </w:r>
            <w:r w:rsidRPr="00323624">
              <w:t xml:space="preserve"> vorm</w:t>
            </w:r>
          </w:p>
        </w:tc>
        <w:tc>
          <w:tcPr>
            <w:tcW w:w="0" w:type="auto"/>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B52373" w:rsidRPr="00323624" w:rsidRDefault="00B52373" w:rsidP="00502442">
            <w:r w:rsidRPr="00323624">
              <w:rPr>
                <w:rFonts w:ascii="Symbol" w:hAnsi="Symbol"/>
              </w:rPr>
              <w:t></w:t>
            </w:r>
            <w:r w:rsidRPr="00323624">
              <w:t xml:space="preserve"> vorm — </w:t>
            </w:r>
            <w:r w:rsidRPr="00323624">
              <w:rPr>
                <w:rFonts w:ascii="Symbol" w:hAnsi="Symbol"/>
              </w:rPr>
              <w:t></w:t>
            </w:r>
            <w:r w:rsidRPr="00323624">
              <w:t xml:space="preserve"> vorm</w:t>
            </w:r>
          </w:p>
        </w:tc>
        <w:tc>
          <w:tcPr>
            <w:tcW w:w="0" w:type="auto"/>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B52373" w:rsidRPr="00323624" w:rsidRDefault="00B52373" w:rsidP="00502442">
            <w:r w:rsidRPr="00323624">
              <w:rPr>
                <w:rFonts w:ascii="Symbol" w:hAnsi="Symbol"/>
              </w:rPr>
              <w:t></w:t>
            </w:r>
            <w:r w:rsidRPr="00323624">
              <w:t xml:space="preserve"> vorm + </w:t>
            </w:r>
            <w:r w:rsidRPr="00323624">
              <w:rPr>
                <w:rFonts w:ascii="Symbol" w:hAnsi="Symbol"/>
              </w:rPr>
              <w:t></w:t>
            </w:r>
            <w:r w:rsidRPr="00323624">
              <w:t xml:space="preserve"> vorm</w:t>
            </w:r>
          </w:p>
        </w:tc>
      </w:tr>
      <w:tr w:rsidR="00B52373" w:rsidRPr="00323624" w:rsidTr="00502442">
        <w:tc>
          <w:tcPr>
            <w:tcW w:w="0" w:type="auto"/>
            <w:tcBorders>
              <w:top w:val="single" w:sz="4" w:space="0" w:color="auto"/>
              <w:left w:val="single" w:sz="4" w:space="0" w:color="auto"/>
              <w:bottom w:val="nil"/>
              <w:right w:val="single" w:sz="4" w:space="0" w:color="auto"/>
            </w:tcBorders>
            <w:tcMar>
              <w:left w:w="85" w:type="dxa"/>
              <w:right w:w="85" w:type="dxa"/>
            </w:tcMar>
            <w:vAlign w:val="center"/>
          </w:tcPr>
          <w:p w:rsidR="00B52373" w:rsidRPr="00323624" w:rsidRDefault="00B52373" w:rsidP="00502442">
            <w:r w:rsidRPr="00323624">
              <w:t>1-(1-propoxy)glucose</w:t>
            </w:r>
          </w:p>
        </w:tc>
        <w:tc>
          <w:tcPr>
            <w:tcW w:w="0" w:type="auto"/>
            <w:tcBorders>
              <w:top w:val="single" w:sz="4" w:space="0" w:color="auto"/>
              <w:left w:val="single" w:sz="4" w:space="0" w:color="auto"/>
              <w:bottom w:val="nil"/>
              <w:right w:val="single" w:sz="4" w:space="0" w:color="auto"/>
            </w:tcBorders>
            <w:tcMar>
              <w:left w:w="85" w:type="dxa"/>
              <w:right w:w="85" w:type="dxa"/>
            </w:tcMar>
            <w:vAlign w:val="center"/>
          </w:tcPr>
          <w:p w:rsidR="00B52373" w:rsidRPr="00323624" w:rsidRDefault="00B52373" w:rsidP="00502442">
            <w:r w:rsidRPr="00323624">
              <w:t>+ 31,3°</w:t>
            </w:r>
          </w:p>
        </w:tc>
        <w:tc>
          <w:tcPr>
            <w:tcW w:w="0" w:type="auto"/>
            <w:tcBorders>
              <w:top w:val="single" w:sz="4" w:space="0" w:color="auto"/>
              <w:left w:val="single" w:sz="4" w:space="0" w:color="auto"/>
              <w:bottom w:val="nil"/>
              <w:right w:val="single" w:sz="4" w:space="0" w:color="auto"/>
            </w:tcBorders>
            <w:tcMar>
              <w:left w:w="85" w:type="dxa"/>
              <w:right w:w="85" w:type="dxa"/>
            </w:tcMar>
          </w:tcPr>
          <w:p w:rsidR="00B52373" w:rsidRPr="00323624" w:rsidRDefault="00B52373" w:rsidP="00502442">
            <w:r w:rsidRPr="00323624">
              <w:sym w:font="Symbol" w:char="F02D"/>
            </w:r>
            <w:r w:rsidRPr="00323624">
              <w:t>7,8°</w:t>
            </w:r>
          </w:p>
        </w:tc>
        <w:tc>
          <w:tcPr>
            <w:tcW w:w="0" w:type="auto"/>
            <w:tcBorders>
              <w:top w:val="single" w:sz="4" w:space="0" w:color="auto"/>
              <w:left w:val="single" w:sz="4" w:space="0" w:color="auto"/>
              <w:bottom w:val="nil"/>
              <w:right w:val="single" w:sz="4" w:space="0" w:color="auto"/>
            </w:tcBorders>
            <w:tcMar>
              <w:left w:w="85" w:type="dxa"/>
              <w:right w:w="85" w:type="dxa"/>
            </w:tcMar>
          </w:tcPr>
          <w:p w:rsidR="00B52373" w:rsidRPr="00323624" w:rsidRDefault="00B52373" w:rsidP="00502442">
            <w:r w:rsidRPr="00323624">
              <w:t>+ 39,1°</w:t>
            </w:r>
          </w:p>
        </w:tc>
        <w:tc>
          <w:tcPr>
            <w:tcW w:w="0" w:type="auto"/>
            <w:tcBorders>
              <w:top w:val="single" w:sz="4" w:space="0" w:color="auto"/>
              <w:left w:val="single" w:sz="4" w:space="0" w:color="auto"/>
              <w:bottom w:val="nil"/>
              <w:right w:val="single" w:sz="4" w:space="0" w:color="auto"/>
            </w:tcBorders>
            <w:tcMar>
              <w:left w:w="85" w:type="dxa"/>
              <w:right w:w="85" w:type="dxa"/>
            </w:tcMar>
          </w:tcPr>
          <w:p w:rsidR="00B52373" w:rsidRPr="00323624" w:rsidRDefault="00B52373" w:rsidP="00502442">
            <w:r w:rsidRPr="00323624">
              <w:t>+ 23,5°</w:t>
            </w:r>
          </w:p>
        </w:tc>
      </w:tr>
      <w:tr w:rsidR="00B52373" w:rsidRPr="00323624" w:rsidTr="00502442">
        <w:tc>
          <w:tcPr>
            <w:tcW w:w="0" w:type="auto"/>
            <w:tcBorders>
              <w:top w:val="nil"/>
              <w:left w:val="single" w:sz="4" w:space="0" w:color="auto"/>
              <w:bottom w:val="single" w:sz="4" w:space="0" w:color="auto"/>
              <w:right w:val="single" w:sz="4" w:space="0" w:color="auto"/>
            </w:tcBorders>
            <w:tcMar>
              <w:left w:w="85" w:type="dxa"/>
              <w:right w:w="85" w:type="dxa"/>
            </w:tcMar>
          </w:tcPr>
          <w:p w:rsidR="00B52373" w:rsidRPr="00323624" w:rsidRDefault="00B52373" w:rsidP="00502442">
            <w:r w:rsidRPr="00323624">
              <w:t>glucose</w:t>
            </w:r>
          </w:p>
        </w:tc>
        <w:tc>
          <w:tcPr>
            <w:tcW w:w="0" w:type="auto"/>
            <w:tcBorders>
              <w:top w:val="nil"/>
              <w:left w:val="single" w:sz="4" w:space="0" w:color="auto"/>
              <w:bottom w:val="single" w:sz="4" w:space="0" w:color="auto"/>
              <w:right w:val="single" w:sz="4" w:space="0" w:color="auto"/>
            </w:tcBorders>
            <w:tcMar>
              <w:left w:w="85" w:type="dxa"/>
              <w:right w:w="85" w:type="dxa"/>
            </w:tcMar>
          </w:tcPr>
          <w:p w:rsidR="00B52373" w:rsidRPr="00323624" w:rsidRDefault="00B52373" w:rsidP="00502442">
            <w:r w:rsidRPr="00323624">
              <w:t>+ 20,2°</w:t>
            </w:r>
          </w:p>
        </w:tc>
        <w:tc>
          <w:tcPr>
            <w:tcW w:w="0" w:type="auto"/>
            <w:tcBorders>
              <w:top w:val="nil"/>
              <w:left w:val="single" w:sz="4" w:space="0" w:color="auto"/>
              <w:bottom w:val="single" w:sz="4" w:space="0" w:color="auto"/>
              <w:right w:val="single" w:sz="4" w:space="0" w:color="auto"/>
            </w:tcBorders>
            <w:tcMar>
              <w:left w:w="85" w:type="dxa"/>
              <w:right w:w="85" w:type="dxa"/>
            </w:tcMar>
          </w:tcPr>
          <w:p w:rsidR="00B52373" w:rsidRPr="00323624" w:rsidRDefault="00B52373" w:rsidP="00502442">
            <w:r w:rsidRPr="00323624">
              <w:t>+ 3,4°</w:t>
            </w:r>
          </w:p>
        </w:tc>
        <w:tc>
          <w:tcPr>
            <w:tcW w:w="0" w:type="auto"/>
            <w:tcBorders>
              <w:top w:val="nil"/>
              <w:left w:val="single" w:sz="4" w:space="0" w:color="auto"/>
              <w:bottom w:val="single" w:sz="4" w:space="0" w:color="auto"/>
              <w:right w:val="single" w:sz="4" w:space="0" w:color="auto"/>
            </w:tcBorders>
            <w:tcMar>
              <w:left w:w="85" w:type="dxa"/>
              <w:right w:w="85" w:type="dxa"/>
            </w:tcMar>
          </w:tcPr>
          <w:p w:rsidR="00B52373" w:rsidRPr="00323624" w:rsidRDefault="00B52373" w:rsidP="00502442">
            <w:r w:rsidRPr="00323624">
              <w:t>+ 16,8°</w:t>
            </w:r>
          </w:p>
        </w:tc>
        <w:tc>
          <w:tcPr>
            <w:tcW w:w="0" w:type="auto"/>
            <w:tcBorders>
              <w:top w:val="nil"/>
              <w:left w:val="single" w:sz="4" w:space="0" w:color="auto"/>
              <w:bottom w:val="single" w:sz="4" w:space="0" w:color="auto"/>
              <w:right w:val="single" w:sz="4" w:space="0" w:color="auto"/>
            </w:tcBorders>
            <w:tcMar>
              <w:left w:w="85" w:type="dxa"/>
              <w:right w:w="85" w:type="dxa"/>
            </w:tcMar>
            <w:vAlign w:val="center"/>
          </w:tcPr>
          <w:p w:rsidR="00B52373" w:rsidRPr="00323624" w:rsidRDefault="00B52373" w:rsidP="00502442">
            <w:r w:rsidRPr="00323624">
              <w:t>+ 23,6°</w:t>
            </w:r>
          </w:p>
        </w:tc>
      </w:tr>
    </w:tbl>
    <w:p w:rsidR="00B52373" w:rsidRPr="00E15BAA" w:rsidRDefault="00B52373" w:rsidP="00B52373">
      <w:pPr>
        <w:pStyle w:val="CSElijst"/>
        <w:numPr>
          <w:ilvl w:val="0"/>
          <w:numId w:val="7"/>
        </w:numPr>
        <w:ind w:left="0" w:hanging="709"/>
        <w:rPr>
          <w:lang w:val="nl-NL"/>
        </w:rPr>
      </w:pPr>
      <w:r w:rsidRPr="00E15BAA">
        <w:rPr>
          <w:lang w:val="nl-NL"/>
        </w:rPr>
        <w:t>Leg uit dat verwacht mag worden dat de som in beide gevallen (vrijwel) dezelfde waarde heeft.</w:t>
      </w:r>
    </w:p>
    <w:p w:rsidR="00BC18B7" w:rsidRDefault="00BC18B7" w:rsidP="00D21AB4">
      <w:pPr>
        <w:kinsoku w:val="0"/>
        <w:overflowPunct w:val="0"/>
        <w:textAlignment w:val="baseline"/>
      </w:pPr>
      <w:bookmarkStart w:id="5" w:name="_GoBack"/>
      <w:bookmarkEnd w:id="5"/>
    </w:p>
    <w:sectPr w:rsidR="00BC18B7" w:rsidSect="007A0C4E">
      <w:footerReference w:type="default" r:id="rId21"/>
      <w:type w:val="oddPage"/>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4F3" w:rsidRDefault="00C304F3">
      <w:r>
        <w:separator/>
      </w:r>
    </w:p>
  </w:endnote>
  <w:endnote w:type="continuationSeparator" w:id="0">
    <w:p w:rsidR="00C304F3" w:rsidRDefault="00C3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933839"/>
      <w:docPartObj>
        <w:docPartGallery w:val="Page Numbers (Bottom of Page)"/>
        <w:docPartUnique/>
      </w:docPartObj>
    </w:sdtPr>
    <w:sdtEndPr/>
    <w:sdtContent>
      <w:p w:rsidR="00BD1AE9" w:rsidRPr="00214D57" w:rsidRDefault="00B52373">
        <w:pPr>
          <w:pStyle w:val="Voettekst"/>
        </w:pPr>
        <w:proofErr w:type="spellStart"/>
        <w:r w:rsidRPr="00214D57">
          <w:t>Sk</w:t>
        </w:r>
        <w:proofErr w:type="spellEnd"/>
        <w:r w:rsidRPr="00214D57">
          <w:t>-VWO 1984-II</w:t>
        </w:r>
        <w:r w:rsidRPr="00D076A7">
          <w:t> </w:t>
        </w:r>
        <w:proofErr w:type="spellStart"/>
        <w:r w:rsidR="00D21AB4">
          <w:t>opgaven</w:t>
        </w:r>
        <w:r w:rsidRPr="00214D57">
          <w:t>_PdG</w:t>
        </w:r>
        <w:proofErr w:type="spellEnd"/>
        <w:r w:rsidRPr="00214D57">
          <w:t>, juli 2017</w:t>
        </w:r>
        <w:r w:rsidRPr="00214D57">
          <w:tab/>
        </w:r>
        <w:r>
          <w:fldChar w:fldCharType="begin"/>
        </w:r>
        <w:r w:rsidRPr="00214D57">
          <w:instrText>PAGE   \* MERGEFORMAT</w:instrText>
        </w:r>
        <w:r>
          <w:fldChar w:fldCharType="separate"/>
        </w:r>
        <w:r w:rsidR="00D21AB4">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4F3" w:rsidRDefault="00C304F3">
      <w:r>
        <w:separator/>
      </w:r>
    </w:p>
  </w:footnote>
  <w:footnote w:type="continuationSeparator" w:id="0">
    <w:p w:rsidR="00C304F3" w:rsidRDefault="00C30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CE4E"/>
    <w:multiLevelType w:val="singleLevel"/>
    <w:tmpl w:val="74EB39D7"/>
    <w:lvl w:ilvl="0">
      <w:start w:val="1"/>
      <w:numFmt w:val="upperRoman"/>
      <w:lvlText w:val="%1."/>
      <w:lvlJc w:val="left"/>
      <w:pPr>
        <w:tabs>
          <w:tab w:val="num" w:pos="432"/>
        </w:tabs>
        <w:ind w:left="432" w:hanging="288"/>
      </w:pPr>
      <w:rPr>
        <w:snapToGrid/>
        <w:spacing w:val="12"/>
        <w:sz w:val="16"/>
        <w:szCs w:val="16"/>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8" w15:restartNumberingAfterBreak="0">
    <w:nsid w:val="4ADE7BCB"/>
    <w:multiLevelType w:val="hybridMultilevel"/>
    <w:tmpl w:val="2CBEE566"/>
    <w:lvl w:ilvl="0" w:tplc="0BD674FA">
      <w:numFmt w:val="bullet"/>
      <w:pStyle w:val="OpsStrp"/>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4E33FC"/>
    <w:multiLevelType w:val="hybridMultilevel"/>
    <w:tmpl w:val="2340BDE8"/>
    <w:lvl w:ilvl="0" w:tplc="875A0EE0">
      <w:start w:val="1"/>
      <w:numFmt w:val="upperRoman"/>
      <w:lvlText w:val="%1."/>
      <w:lvlJc w:val="left"/>
      <w:pPr>
        <w:ind w:left="720" w:hanging="360"/>
      </w:pPr>
      <w:rPr>
        <w:rFonts w:ascii="Times New Roman" w:hAnsi="Times New Roman" w:hint="default"/>
        <w:b/>
        <w:i w:val="0"/>
        <w:sz w:val="22"/>
      </w:rPr>
    </w:lvl>
    <w:lvl w:ilvl="1" w:tplc="04130013">
      <w:start w:val="1"/>
      <w:numFmt w:val="upp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1"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775083"/>
    <w:multiLevelType w:val="singleLevel"/>
    <w:tmpl w:val="33386ACA"/>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13"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E7A59D4"/>
    <w:multiLevelType w:val="hybridMultilevel"/>
    <w:tmpl w:val="387E9870"/>
    <w:lvl w:ilvl="0" w:tplc="860CFA44">
      <w:start w:val="1"/>
      <w:numFmt w:val="decimal"/>
      <w:lvlText w:val="%1"/>
      <w:lvlJc w:val="left"/>
      <w:pPr>
        <w:tabs>
          <w:tab w:val="num" w:pos="360"/>
        </w:tabs>
        <w:ind w:left="360" w:hanging="360"/>
      </w:pPr>
    </w:lvl>
    <w:lvl w:ilvl="1" w:tplc="04130019">
      <w:start w:val="1"/>
      <w:numFmt w:val="lowerLetter"/>
      <w:lvlText w:val="%2."/>
      <w:lvlJc w:val="left"/>
      <w:pPr>
        <w:tabs>
          <w:tab w:val="num" w:pos="873"/>
        </w:tabs>
        <w:ind w:left="873" w:hanging="360"/>
      </w:pPr>
    </w:lvl>
    <w:lvl w:ilvl="2" w:tplc="0413001B" w:tentative="1">
      <w:start w:val="1"/>
      <w:numFmt w:val="lowerRoman"/>
      <w:lvlText w:val="%3."/>
      <w:lvlJc w:val="right"/>
      <w:pPr>
        <w:tabs>
          <w:tab w:val="num" w:pos="1593"/>
        </w:tabs>
        <w:ind w:left="1593" w:hanging="180"/>
      </w:pPr>
    </w:lvl>
    <w:lvl w:ilvl="3" w:tplc="0413000F" w:tentative="1">
      <w:start w:val="1"/>
      <w:numFmt w:val="decimal"/>
      <w:lvlText w:val="%4."/>
      <w:lvlJc w:val="left"/>
      <w:pPr>
        <w:tabs>
          <w:tab w:val="num" w:pos="2313"/>
        </w:tabs>
        <w:ind w:left="2313" w:hanging="360"/>
      </w:pPr>
    </w:lvl>
    <w:lvl w:ilvl="4" w:tplc="04130019" w:tentative="1">
      <w:start w:val="1"/>
      <w:numFmt w:val="lowerLetter"/>
      <w:lvlText w:val="%5."/>
      <w:lvlJc w:val="left"/>
      <w:pPr>
        <w:tabs>
          <w:tab w:val="num" w:pos="3033"/>
        </w:tabs>
        <w:ind w:left="3033" w:hanging="360"/>
      </w:pPr>
    </w:lvl>
    <w:lvl w:ilvl="5" w:tplc="0413001B" w:tentative="1">
      <w:start w:val="1"/>
      <w:numFmt w:val="lowerRoman"/>
      <w:lvlText w:val="%6."/>
      <w:lvlJc w:val="right"/>
      <w:pPr>
        <w:tabs>
          <w:tab w:val="num" w:pos="3753"/>
        </w:tabs>
        <w:ind w:left="3753" w:hanging="180"/>
      </w:pPr>
    </w:lvl>
    <w:lvl w:ilvl="6" w:tplc="0413000F" w:tentative="1">
      <w:start w:val="1"/>
      <w:numFmt w:val="decimal"/>
      <w:lvlText w:val="%7."/>
      <w:lvlJc w:val="left"/>
      <w:pPr>
        <w:tabs>
          <w:tab w:val="num" w:pos="4473"/>
        </w:tabs>
        <w:ind w:left="4473" w:hanging="360"/>
      </w:pPr>
    </w:lvl>
    <w:lvl w:ilvl="7" w:tplc="04130019" w:tentative="1">
      <w:start w:val="1"/>
      <w:numFmt w:val="lowerLetter"/>
      <w:lvlText w:val="%8."/>
      <w:lvlJc w:val="left"/>
      <w:pPr>
        <w:tabs>
          <w:tab w:val="num" w:pos="5193"/>
        </w:tabs>
        <w:ind w:left="5193" w:hanging="360"/>
      </w:pPr>
    </w:lvl>
    <w:lvl w:ilvl="8" w:tplc="0413001B" w:tentative="1">
      <w:start w:val="1"/>
      <w:numFmt w:val="lowerRoman"/>
      <w:lvlText w:val="%9."/>
      <w:lvlJc w:val="right"/>
      <w:pPr>
        <w:tabs>
          <w:tab w:val="num" w:pos="5913"/>
        </w:tabs>
        <w:ind w:left="5913" w:hanging="180"/>
      </w:pPr>
    </w:lvl>
  </w:abstractNum>
  <w:abstractNum w:abstractNumId="15"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5"/>
  </w:num>
  <w:num w:numId="4">
    <w:abstractNumId w:val="5"/>
  </w:num>
  <w:num w:numId="5">
    <w:abstractNumId w:val="5"/>
  </w:num>
  <w:num w:numId="6">
    <w:abstractNumId w:val="5"/>
  </w:num>
  <w:num w:numId="7">
    <w:abstractNumId w:val="13"/>
  </w:num>
  <w:num w:numId="8">
    <w:abstractNumId w:val="13"/>
  </w:num>
  <w:num w:numId="9">
    <w:abstractNumId w:val="13"/>
  </w:num>
  <w:num w:numId="10">
    <w:abstractNumId w:val="13"/>
  </w:num>
  <w:num w:numId="11">
    <w:abstractNumId w:val="13"/>
  </w:num>
  <w:num w:numId="12">
    <w:abstractNumId w:val="4"/>
  </w:num>
  <w:num w:numId="13">
    <w:abstractNumId w:val="11"/>
  </w:num>
  <w:num w:numId="14">
    <w:abstractNumId w:val="4"/>
  </w:num>
  <w:num w:numId="15">
    <w:abstractNumId w:val="1"/>
  </w:num>
  <w:num w:numId="16">
    <w:abstractNumId w:val="7"/>
  </w:num>
  <w:num w:numId="17">
    <w:abstractNumId w:val="6"/>
  </w:num>
  <w:num w:numId="18">
    <w:abstractNumId w:val="0"/>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0"/>
  </w:num>
  <w:num w:numId="23">
    <w:abstractNumId w:val="12"/>
  </w:num>
  <w:num w:numId="24">
    <w:abstractNumId w:val="8"/>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4"/>
  </w:num>
  <w:num w:numId="34">
    <w:abstractNumId w:val="13"/>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373"/>
    <w:rsid w:val="000016CD"/>
    <w:rsid w:val="00095AFC"/>
    <w:rsid w:val="000C024B"/>
    <w:rsid w:val="002B24C5"/>
    <w:rsid w:val="00300992"/>
    <w:rsid w:val="00331832"/>
    <w:rsid w:val="0040277F"/>
    <w:rsid w:val="00407D6E"/>
    <w:rsid w:val="00443364"/>
    <w:rsid w:val="004A0569"/>
    <w:rsid w:val="005B4D14"/>
    <w:rsid w:val="00672ACD"/>
    <w:rsid w:val="007040CC"/>
    <w:rsid w:val="00710734"/>
    <w:rsid w:val="007A0C4E"/>
    <w:rsid w:val="007D0E50"/>
    <w:rsid w:val="00826564"/>
    <w:rsid w:val="008337B7"/>
    <w:rsid w:val="0086759D"/>
    <w:rsid w:val="0089555E"/>
    <w:rsid w:val="008B602B"/>
    <w:rsid w:val="0094045F"/>
    <w:rsid w:val="009C361C"/>
    <w:rsid w:val="009D50CF"/>
    <w:rsid w:val="00AA694C"/>
    <w:rsid w:val="00B26C89"/>
    <w:rsid w:val="00B415CC"/>
    <w:rsid w:val="00B52373"/>
    <w:rsid w:val="00BA5F2B"/>
    <w:rsid w:val="00BC0577"/>
    <w:rsid w:val="00BC0CB8"/>
    <w:rsid w:val="00BC18B7"/>
    <w:rsid w:val="00BC7B1C"/>
    <w:rsid w:val="00C057EA"/>
    <w:rsid w:val="00C304F3"/>
    <w:rsid w:val="00C72BB6"/>
    <w:rsid w:val="00CC42EC"/>
    <w:rsid w:val="00D03A11"/>
    <w:rsid w:val="00D21AB4"/>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E703D20"/>
  <w15:chartTrackingRefBased/>
  <w15:docId w15:val="{2370BCB3-8BCC-4117-B248-7864A921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52373"/>
  </w:style>
  <w:style w:type="paragraph" w:styleId="Kop1">
    <w:name w:val="heading 1"/>
    <w:basedOn w:val="Standaard"/>
    <w:next w:val="Standaard"/>
    <w:link w:val="Kop1Char"/>
    <w:qFormat/>
    <w:rsid w:val="00B52373"/>
    <w:pPr>
      <w:keepNext/>
      <w:tabs>
        <w:tab w:val="left" w:pos="-1440"/>
        <w:tab w:val="left" w:pos="-720"/>
      </w:tabs>
      <w:suppressAutoHyphens/>
      <w:spacing w:after="120"/>
      <w:outlineLvl w:val="0"/>
    </w:pPr>
    <w:rPr>
      <w:rFonts w:eastAsia="Times New Roman"/>
      <w:b/>
      <w:sz w:val="28"/>
      <w:szCs w:val="24"/>
      <w:lang w:eastAsia="nl-NL"/>
    </w:rPr>
  </w:style>
  <w:style w:type="paragraph" w:styleId="Kop2">
    <w:name w:val="heading 2"/>
    <w:basedOn w:val="Standaard"/>
    <w:next w:val="Standaard"/>
    <w:link w:val="Kop2Char"/>
    <w:qFormat/>
    <w:rsid w:val="00B52373"/>
    <w:pPr>
      <w:keepNext/>
      <w:tabs>
        <w:tab w:val="left" w:pos="3402"/>
      </w:tabs>
      <w:spacing w:before="240" w:after="60"/>
      <w:outlineLvl w:val="1"/>
    </w:pPr>
    <w:rPr>
      <w:rFonts w:eastAsia="Times New Roman"/>
      <w:b/>
      <w:bCs/>
      <w:i/>
      <w:iCs/>
      <w:sz w:val="28"/>
      <w:szCs w:val="28"/>
      <w:lang w:eastAsia="nl-NL"/>
    </w:rPr>
  </w:style>
  <w:style w:type="paragraph" w:styleId="Kop3">
    <w:name w:val="heading 3"/>
    <w:basedOn w:val="Standaard"/>
    <w:next w:val="Standaard"/>
    <w:link w:val="Kop3Char"/>
    <w:uiPriority w:val="9"/>
    <w:semiHidden/>
    <w:unhideWhenUsed/>
    <w:qFormat/>
    <w:rsid w:val="00B5237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B52373"/>
    <w:rPr>
      <w:rFonts w:eastAsia="Times New Roman"/>
      <w:b/>
      <w:sz w:val="28"/>
      <w:szCs w:val="24"/>
      <w:lang w:eastAsia="nl-NL"/>
    </w:rPr>
  </w:style>
  <w:style w:type="character" w:customStyle="1" w:styleId="Kop2Char">
    <w:name w:val="Kop 2 Char"/>
    <w:basedOn w:val="Standaardalinea-lettertype"/>
    <w:link w:val="Kop2"/>
    <w:rsid w:val="00B52373"/>
    <w:rPr>
      <w:rFonts w:eastAsia="Times New Roman"/>
      <w:b/>
      <w:bCs/>
      <w:i/>
      <w:iCs/>
      <w:sz w:val="28"/>
      <w:szCs w:val="28"/>
      <w:lang w:eastAsia="nl-NL"/>
    </w:rPr>
  </w:style>
  <w:style w:type="character" w:customStyle="1" w:styleId="Kop3Char">
    <w:name w:val="Kop 3 Char"/>
    <w:basedOn w:val="Standaardalinea-lettertype"/>
    <w:link w:val="Kop3"/>
    <w:uiPriority w:val="9"/>
    <w:semiHidden/>
    <w:rsid w:val="00B52373"/>
    <w:rPr>
      <w:rFonts w:asciiTheme="majorHAnsi" w:eastAsiaTheme="majorEastAsia" w:hAnsiTheme="majorHAnsi" w:cstheme="majorBidi"/>
      <w:color w:val="1F3763" w:themeColor="accent1" w:themeShade="7F"/>
      <w:sz w:val="24"/>
      <w:szCs w:val="24"/>
    </w:rPr>
  </w:style>
  <w:style w:type="character" w:customStyle="1" w:styleId="StipChar">
    <w:name w:val="Stip Char"/>
    <w:basedOn w:val="Standaardalinea-lettertype"/>
    <w:link w:val="Stip"/>
    <w:rsid w:val="00B52373"/>
  </w:style>
  <w:style w:type="character" w:customStyle="1" w:styleId="VraagChar">
    <w:name w:val="Vraag Char"/>
    <w:basedOn w:val="Standaardalinea-lettertype"/>
    <w:link w:val="Vraag"/>
    <w:rsid w:val="00B52373"/>
    <w:rPr>
      <w:spacing w:val="4"/>
    </w:rPr>
  </w:style>
  <w:style w:type="character" w:customStyle="1" w:styleId="InterlinieChar">
    <w:name w:val="Interlinie Char"/>
    <w:basedOn w:val="Standaardalinea-lettertype"/>
    <w:link w:val="Interlinie"/>
    <w:rsid w:val="00B52373"/>
  </w:style>
  <w:style w:type="paragraph" w:styleId="Bijschrift">
    <w:name w:val="caption"/>
    <w:basedOn w:val="Standaard"/>
    <w:next w:val="Standaard"/>
    <w:unhideWhenUsed/>
    <w:qFormat/>
    <w:rsid w:val="00B52373"/>
    <w:pPr>
      <w:spacing w:before="120"/>
    </w:pPr>
    <w:rPr>
      <w:b/>
      <w:i/>
      <w:iCs/>
      <w:color w:val="44546A" w:themeColor="text2"/>
      <w:sz w:val="18"/>
      <w:szCs w:val="18"/>
    </w:rPr>
  </w:style>
  <w:style w:type="paragraph" w:styleId="Koptekst">
    <w:name w:val="header"/>
    <w:basedOn w:val="Standaard"/>
    <w:link w:val="KoptekstChar"/>
    <w:uiPriority w:val="99"/>
    <w:unhideWhenUsed/>
    <w:rsid w:val="00B52373"/>
    <w:pPr>
      <w:tabs>
        <w:tab w:val="center" w:pos="4536"/>
        <w:tab w:val="right" w:pos="9072"/>
      </w:tabs>
    </w:pPr>
    <w:rPr>
      <w:szCs w:val="24"/>
    </w:rPr>
  </w:style>
  <w:style w:type="character" w:customStyle="1" w:styleId="KoptekstChar">
    <w:name w:val="Koptekst Char"/>
    <w:basedOn w:val="Standaardalinea-lettertype"/>
    <w:link w:val="Koptekst"/>
    <w:uiPriority w:val="99"/>
    <w:rsid w:val="00B52373"/>
    <w:rPr>
      <w:szCs w:val="24"/>
    </w:rPr>
  </w:style>
  <w:style w:type="paragraph" w:styleId="Voetnoottekst">
    <w:name w:val="footnote text"/>
    <w:basedOn w:val="Standaard"/>
    <w:link w:val="VoetnoottekstChar"/>
    <w:semiHidden/>
    <w:unhideWhenUsed/>
    <w:rsid w:val="00B52373"/>
    <w:rPr>
      <w:sz w:val="20"/>
      <w:szCs w:val="20"/>
    </w:rPr>
  </w:style>
  <w:style w:type="character" w:customStyle="1" w:styleId="VoetnoottekstChar">
    <w:name w:val="Voetnoottekst Char"/>
    <w:basedOn w:val="Standaardalinea-lettertype"/>
    <w:link w:val="Voetnoottekst"/>
    <w:semiHidden/>
    <w:rsid w:val="00B52373"/>
    <w:rPr>
      <w:sz w:val="20"/>
      <w:szCs w:val="20"/>
    </w:rPr>
  </w:style>
  <w:style w:type="character" w:styleId="Voetnootmarkering">
    <w:name w:val="footnote reference"/>
    <w:basedOn w:val="Standaardalinea-lettertype"/>
    <w:semiHidden/>
    <w:unhideWhenUsed/>
    <w:rsid w:val="00B52373"/>
    <w:rPr>
      <w:vertAlign w:val="superscript"/>
    </w:rPr>
  </w:style>
  <w:style w:type="table" w:styleId="Tabelraster">
    <w:name w:val="Table Grid"/>
    <w:basedOn w:val="Standaardtabel"/>
    <w:uiPriority w:val="39"/>
    <w:rsid w:val="00B52373"/>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52373"/>
    <w:rPr>
      <w:color w:val="808080"/>
    </w:rPr>
  </w:style>
  <w:style w:type="paragraph" w:customStyle="1" w:styleId="Deelvraag">
    <w:name w:val="Deelvraag"/>
    <w:basedOn w:val="Standaard"/>
    <w:rsid w:val="00B52373"/>
    <w:pPr>
      <w:numPr>
        <w:numId w:val="22"/>
      </w:numPr>
    </w:pPr>
    <w:rPr>
      <w:rFonts w:eastAsia="Times New Roman"/>
      <w:szCs w:val="24"/>
      <w:lang w:eastAsia="nl-NL"/>
    </w:rPr>
  </w:style>
  <w:style w:type="paragraph" w:customStyle="1" w:styleId="opgave">
    <w:name w:val="opgave"/>
    <w:basedOn w:val="Standaard"/>
    <w:next w:val="Standaard"/>
    <w:rsid w:val="00B52373"/>
    <w:pPr>
      <w:keepNext/>
      <w:numPr>
        <w:numId w:val="23"/>
      </w:numPr>
      <w:tabs>
        <w:tab w:val="clear" w:pos="1191"/>
      </w:tabs>
      <w:spacing w:before="240" w:after="120"/>
      <w:ind w:left="993" w:hanging="851"/>
      <w:outlineLvl w:val="0"/>
    </w:pPr>
    <w:rPr>
      <w:rFonts w:eastAsia="Times New Roman"/>
      <w:b/>
      <w:sz w:val="28"/>
      <w:szCs w:val="24"/>
      <w:lang w:eastAsia="nl-NL"/>
    </w:rPr>
  </w:style>
  <w:style w:type="character" w:styleId="Paginanummer">
    <w:name w:val="page number"/>
    <w:basedOn w:val="Standaardalinea-lettertype"/>
    <w:rsid w:val="00B52373"/>
  </w:style>
  <w:style w:type="paragraph" w:customStyle="1" w:styleId="Structform">
    <w:name w:val="Structform"/>
    <w:basedOn w:val="Standaard"/>
    <w:autoRedefine/>
    <w:rsid w:val="00B52373"/>
    <w:pPr>
      <w:widowControl w:val="0"/>
      <w:tabs>
        <w:tab w:val="left" w:pos="884"/>
        <w:tab w:val="left" w:pos="3571"/>
      </w:tabs>
      <w:spacing w:before="120" w:after="120"/>
    </w:pPr>
    <w:rPr>
      <w:rFonts w:eastAsia="Times New Roman"/>
      <w:snapToGrid w:val="0"/>
      <w:sz w:val="24"/>
      <w:szCs w:val="20"/>
      <w:lang w:eastAsia="nl-NL"/>
    </w:rPr>
  </w:style>
  <w:style w:type="paragraph" w:styleId="Inhopg1">
    <w:name w:val="toc 1"/>
    <w:basedOn w:val="Standaard"/>
    <w:next w:val="Standaard"/>
    <w:autoRedefine/>
    <w:uiPriority w:val="39"/>
    <w:rsid w:val="00B52373"/>
    <w:rPr>
      <w:rFonts w:eastAsia="Times New Roman"/>
      <w:szCs w:val="24"/>
      <w:lang w:eastAsia="nl-NL"/>
    </w:rPr>
  </w:style>
  <w:style w:type="paragraph" w:styleId="Inhopg4">
    <w:name w:val="toc 4"/>
    <w:basedOn w:val="Standaard"/>
    <w:next w:val="Standaard"/>
    <w:autoRedefine/>
    <w:uiPriority w:val="39"/>
    <w:unhideWhenUsed/>
    <w:rsid w:val="00B52373"/>
    <w:pPr>
      <w:spacing w:after="100" w:line="259" w:lineRule="auto"/>
      <w:ind w:left="660"/>
    </w:pPr>
    <w:rPr>
      <w:rFonts w:asciiTheme="minorHAnsi" w:eastAsiaTheme="minorEastAsia" w:hAnsiTheme="minorHAnsi" w:cstheme="minorBidi"/>
      <w:lang w:eastAsia="nl-NL"/>
    </w:rPr>
  </w:style>
  <w:style w:type="paragraph" w:customStyle="1" w:styleId="OpsStrp">
    <w:name w:val="OpsStrp"/>
    <w:basedOn w:val="Lijstalinea"/>
    <w:qFormat/>
    <w:rsid w:val="00B52373"/>
    <w:pPr>
      <w:numPr>
        <w:numId w:val="24"/>
      </w:numPr>
      <w:spacing w:before="60"/>
      <w:ind w:left="142" w:hanging="142"/>
    </w:pPr>
  </w:style>
  <w:style w:type="paragraph" w:styleId="Kopvaninhoudsopgave">
    <w:name w:val="TOC Heading"/>
    <w:basedOn w:val="Kop1"/>
    <w:next w:val="Standaard"/>
    <w:uiPriority w:val="39"/>
    <w:unhideWhenUsed/>
    <w:qFormat/>
    <w:rsid w:val="00B52373"/>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character" w:styleId="Hyperlink">
    <w:name w:val="Hyperlink"/>
    <w:basedOn w:val="Standaardalinea-lettertype"/>
    <w:uiPriority w:val="99"/>
    <w:unhideWhenUsed/>
    <w:rsid w:val="00B52373"/>
    <w:rPr>
      <w:color w:val="0563C1" w:themeColor="hyperlink"/>
      <w:u w:val="single"/>
    </w:rPr>
  </w:style>
  <w:style w:type="paragraph" w:styleId="Inhopg2">
    <w:name w:val="toc 2"/>
    <w:basedOn w:val="Standaard"/>
    <w:next w:val="Standaard"/>
    <w:autoRedefine/>
    <w:uiPriority w:val="39"/>
    <w:unhideWhenUsed/>
    <w:rsid w:val="00B52373"/>
    <w:pPr>
      <w:tabs>
        <w:tab w:val="center" w:pos="4536"/>
        <w:tab w:val="right" w:leader="dot" w:pos="9060"/>
      </w:tabs>
      <w:spacing w:line="259" w:lineRule="auto"/>
      <w:ind w:left="221"/>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B52373"/>
    <w:pPr>
      <w:spacing w:after="100" w:line="259" w:lineRule="auto"/>
      <w:ind w:left="440"/>
    </w:pPr>
    <w:rPr>
      <w:rFonts w:asciiTheme="minorHAnsi" w:eastAsiaTheme="minorEastAsia" w:hAnsiTheme="minorHAnsi"/>
      <w:lang w:eastAsia="nl-NL"/>
    </w:rPr>
  </w:style>
  <w:style w:type="paragraph" w:styleId="Inhopg5">
    <w:name w:val="toc 5"/>
    <w:basedOn w:val="Standaard"/>
    <w:next w:val="Standaard"/>
    <w:autoRedefine/>
    <w:uiPriority w:val="39"/>
    <w:unhideWhenUsed/>
    <w:rsid w:val="00B52373"/>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B52373"/>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B52373"/>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B52373"/>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B52373"/>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B523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1944</Words>
  <Characters>10692</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2017-11-08T22:02:00Z</dcterms:created>
  <dcterms:modified xsi:type="dcterms:W3CDTF">2017-11-08T22:02:00Z</dcterms:modified>
</cp:coreProperties>
</file>